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after="120" w:line="264" w:lineRule="auto"/>
        <w:jc w:val="center"/>
      </w:pPr>
      <w:r>
        <w:rPr>
          <w:rFonts w:ascii="Arial" w:hAnsi="Arial" w:cs="Arial"/>
          <w:b/>
          <w:i w:val="0"/>
          <w:color w:val="07513B"/>
          <w:sz w:val="36"/>
        </w:rPr>
        <w:t>مدرسة الصفية لتحفيظ القرآن</w:t>
      </w:r>
    </w:p>
    <w:p>
      <w:pPr>
        <w:spacing w:before="0" w:after="100" w:line="264" w:lineRule="auto"/>
        <w:jc w:val="center"/>
      </w:pPr>
      <w:r>
        <w:rPr>
          <w:rFonts w:ascii="Calibri" w:hAnsi="Calibri" w:cs="Calibri"/>
          <w:b/>
          <w:i w:val="0"/>
          <w:color w:val="033325"/>
          <w:sz w:val="32"/>
        </w:rPr>
        <w:t>MADARASATU SAFIYYAH LITTAHFIZIL QUR’AN</w:t>
      </w:r>
    </w:p>
    <w:p>
      <w:pPr>
        <w:spacing w:before="0" w:after="520" w:line="264" w:lineRule="auto"/>
        <w:jc w:val="center"/>
      </w:pPr>
      <w:r>
        <w:rPr>
          <w:rFonts w:ascii="Calibri" w:hAnsi="Calibri" w:cs="Calibri"/>
          <w:b/>
          <w:i w:val="0"/>
          <w:color w:val="B78428"/>
          <w:sz w:val="21"/>
        </w:rPr>
        <w:t>Learn and Teach the Qur’an, Be the Best</w:t>
      </w:r>
    </w:p>
    <w:p>
      <w:pPr>
        <w:jc w:val="center"/>
      </w:pPr>
      <w:r>
        <w:drawing>
          <wp:inline xmlns:a="http://schemas.openxmlformats.org/drawingml/2006/main" xmlns:pic="http://schemas.openxmlformats.org/drawingml/2006/picture">
            <wp:extent cx="1234440" cy="986246"/>
            <wp:docPr id="1" name="Picture 1"/>
            <wp:cNvGraphicFramePr>
              <a:graphicFrameLocks noChangeAspect="1"/>
            </wp:cNvGraphicFramePr>
            <a:graphic>
              <a:graphicData uri="http://schemas.openxmlformats.org/drawingml/2006/picture">
                <pic:pic>
                  <pic:nvPicPr>
                    <pic:cNvPr id="0" name="school-logo.jpg"/>
                    <pic:cNvPicPr/>
                  </pic:nvPicPr>
                  <pic:blipFill>
                    <a:blip r:embed="rId11"/>
                    <a:stretch>
                      <a:fillRect/>
                    </a:stretch>
                  </pic:blipFill>
                  <pic:spPr>
                    <a:xfrm>
                      <a:off x="0" y="0"/>
                      <a:ext cx="1234440" cy="986246"/>
                    </a:xfrm>
                    <a:prstGeom prst="rect"/>
                  </pic:spPr>
                </pic:pic>
              </a:graphicData>
            </a:graphic>
          </wp:inline>
        </w:drawing>
      </w:r>
    </w:p>
    <w:p>
      <w:pPr>
        <w:spacing w:before="480" w:after="120" w:line="264" w:lineRule="auto"/>
        <w:jc w:val="center"/>
      </w:pPr>
      <w:r>
        <w:rPr>
          <w:rFonts w:ascii="Calibri" w:hAnsi="Calibri" w:cs="Calibri"/>
          <w:b/>
          <w:i w:val="0"/>
          <w:color w:val="033325"/>
          <w:sz w:val="56"/>
        </w:rPr>
        <w:t>QUR’AN MASTER SYLLABUS</w:t>
      </w:r>
    </w:p>
    <w:p>
      <w:pPr>
        <w:spacing w:before="0" w:after="280" w:line="264" w:lineRule="auto"/>
        <w:jc w:val="center"/>
      </w:pPr>
      <w:r>
        <w:rPr>
          <w:rFonts w:ascii="Arial" w:hAnsi="Arial" w:cs="Arial"/>
          <w:b/>
          <w:i w:val="0"/>
          <w:color w:val="07513B"/>
          <w:sz w:val="44"/>
        </w:rPr>
        <w:t>المنهج العام لتعليم القرآن الكريم</w:t>
      </w:r>
    </w:p>
    <w:p>
      <w:pPr>
        <w:spacing w:before="0" w:after="60" w:line="264" w:lineRule="auto"/>
        <w:jc w:val="center"/>
      </w:pPr>
      <w:r>
        <w:rPr>
          <w:rFonts w:ascii="Calibri" w:hAnsi="Calibri" w:cs="Calibri"/>
          <w:b w:val="0"/>
          <w:i w:val="0"/>
          <w:color w:val="5A6B60"/>
          <w:sz w:val="26"/>
        </w:rPr>
        <w:t>Raudah / Nursery and Ibtidā’iyyah / Primary Programme</w:t>
      </w:r>
    </w:p>
    <w:p>
      <w:pPr>
        <w:spacing w:before="0" w:after="800" w:line="264" w:lineRule="auto"/>
        <w:jc w:val="center"/>
      </w:pPr>
      <w:r>
        <w:rPr>
          <w:rFonts w:ascii="Arial" w:hAnsi="Arial" w:cs="Arial"/>
          <w:b w:val="0"/>
          <w:i w:val="0"/>
          <w:color w:val="5A6B60"/>
          <w:sz w:val="28"/>
        </w:rPr>
        <w:t>برنامج الروضة والمرحلة الابتدائية</w:t>
      </w:r>
    </w:p>
    <w:tbl>
      <w:tblPr>
        <w:tblW w:type="dxa" w:w="9360"/>
        <w:jc w:val="center"/>
        <w:tblLayout w:type="fixed"/>
        <w:tblLook w:firstColumn="1" w:firstRow="1" w:lastColumn="0" w:lastRow="0" w:noHBand="0" w:noVBand="1" w:val="04A0"/>
        <w:tblInd w:w="120" w:type="dxa"/>
      </w:tblPr>
      <w:tblGrid>
        <w:gridCol w:w="4680"/>
        <w:gridCol w:w="4680"/>
      </w:tblGrid>
      <w:tr>
        <w:tc>
          <w:tcPr>
            <w:tcW w:type="dxa" w:w="4680"/>
            <w:vAlign w:val="center"/>
            <w:tcMar>
              <w:top w:w="110" w:type="dxa"/>
              <w:start w:w="110" w:type="dxa"/>
              <w:bottom w:w="110" w:type="dxa"/>
              <w:end w:w="110" w:type="dxa"/>
            </w:tcMar>
            <w:shd w:fill="FBF7EC"/>
          </w:tcPr>
          <w:p>
            <w:pPr>
              <w:spacing w:after="40"/>
            </w:pPr>
            <w:r/>
            <w:r>
              <w:rPr>
                <w:rFonts w:ascii="Calibri" w:hAnsi="Calibri" w:cs="Calibri"/>
                <w:b w:val="0"/>
                <w:i w:val="0"/>
                <w:color w:val="24372D"/>
                <w:sz w:val="19"/>
              </w:rPr>
              <w:t>Document purpose</w:t>
              <w:br/>
              <w:t>Master curriculum framework - not a weekly scheme of work.</w:t>
            </w:r>
          </w:p>
          <w:p>
            <w:pPr>
              <w:spacing w:after="0"/>
              <w:jc w:val="right"/>
            </w:pPr>
            <w:r>
              <w:rPr>
                <w:rFonts w:ascii="Arial" w:hAnsi="Arial" w:cs="Arial"/>
                <w:b w:val="0"/>
                <w:i w:val="0"/>
                <w:color w:val="5A6B60"/>
                <w:sz w:val="20"/>
              </w:rPr>
              <w:t>غرض الوثيقة</w:t>
              <w:br/>
              <w:t>إطار منهجي عام وليس خطة عمل أسبوعية.</w:t>
            </w:r>
          </w:p>
        </w:tc>
        <w:tc>
          <w:tcPr>
            <w:tcW w:type="dxa" w:w="4680"/>
            <w:vAlign w:val="center"/>
            <w:tcMar>
              <w:top w:w="110" w:type="dxa"/>
              <w:start w:w="110" w:type="dxa"/>
              <w:bottom w:w="110" w:type="dxa"/>
              <w:end w:w="110" w:type="dxa"/>
            </w:tcMar>
            <w:shd w:fill="FBF7EC"/>
          </w:tcPr>
          <w:p>
            <w:pPr>
              <w:spacing w:after="40"/>
            </w:pPr>
            <w:r/>
            <w:r>
              <w:rPr>
                <w:rFonts w:ascii="Calibri" w:hAnsi="Calibri" w:cs="Calibri"/>
                <w:b w:val="0"/>
                <w:i w:val="0"/>
                <w:color w:val="24372D"/>
                <w:sz w:val="19"/>
              </w:rPr>
              <w:t>Academic session</w:t>
              <w:br/>
              <w:t>2026/2027 (Master Reference)</w:t>
            </w:r>
          </w:p>
          <w:p>
            <w:pPr>
              <w:spacing w:after="0"/>
              <w:jc w:val="right"/>
            </w:pPr>
            <w:r>
              <w:rPr>
                <w:rFonts w:ascii="Arial" w:hAnsi="Arial" w:cs="Arial"/>
                <w:b w:val="0"/>
                <w:i w:val="0"/>
                <w:color w:val="5A6B60"/>
                <w:sz w:val="20"/>
              </w:rPr>
              <w:t>العام الدراسي</w:t>
              <w:br/>
              <w:t>٢٠٢٦/٢٠٢٧ (مرجع عام)</w:t>
            </w:r>
          </w:p>
        </w:tc>
      </w:tr>
    </w:tbl>
    <w:p>
      <w:r>
        <w:br w:type="page"/>
      </w:r>
    </w:p>
    <w:p>
      <w:pPr>
        <w:spacing w:before="320" w:after="140"/>
      </w:pPr>
      <w:r>
        <w:rPr>
          <w:rFonts w:ascii="Calibri" w:hAnsi="Calibri" w:cs="Calibri"/>
          <w:b/>
          <w:i w:val="0"/>
          <w:color w:val="07513B"/>
          <w:sz w:val="32"/>
        </w:rPr>
        <w:t>1. Purpose and Educational Vision</w:t>
      </w:r>
      <w:r>
        <w:t xml:space="preserve">   |   </w:t>
      </w:r>
      <w:r>
        <w:rPr>
          <w:rFonts w:ascii="Arial" w:hAnsi="Arial" w:cs="Arial"/>
          <w:b/>
          <w:i w:val="0"/>
          <w:color w:val="07513B"/>
          <w:sz w:val="32"/>
        </w:rPr>
        <w:t>١. الغاية والرؤية التعليمية</w:t>
      </w:r>
    </w:p>
    <w:p>
      <w:pPr>
        <w:spacing w:before="0" w:after="60" w:line="276" w:lineRule="auto"/>
      </w:pPr>
      <w:r>
        <w:rPr>
          <w:rFonts w:ascii="Calibri" w:hAnsi="Calibri" w:cs="Calibri"/>
          <w:b w:val="0"/>
          <w:i w:val="0"/>
          <w:color w:val="24372D"/>
          <w:sz w:val="22"/>
        </w:rPr>
        <w:t>This master syllabus provides the long-term Qur’an learning pathway of Madarasatu Safiyyah. Its central goal is that every learner who begins from Raudah should complete the memorisation of the entire Qur’an through a structured, caring and disciplined programme.</w:t>
      </w:r>
    </w:p>
    <w:p>
      <w:pPr>
        <w:spacing w:before="0" w:after="160" w:line="276" w:lineRule="auto"/>
        <w:jc w:val="right"/>
      </w:pPr>
      <w:r>
        <w:rPr>
          <w:rFonts w:ascii="Arial" w:hAnsi="Arial" w:cs="Arial"/>
          <w:b w:val="0"/>
          <w:i w:val="0"/>
          <w:color w:val="5A6B60"/>
          <w:sz w:val="24"/>
        </w:rPr>
        <w:t>يوضح هذا المنهج العام المسار الطويل لتعليم القرآن في مدرسة الصفية. وهدفه الأساسي أن يتمكن كل متعلم يبدأ من الروضة من إكمال حفظ القرآن الكريم كاملاً عبر برنامج منظم ومراعٍ ومنضبط.</w:t>
      </w:r>
    </w:p>
    <w:p>
      <w:pPr>
        <w:spacing w:before="0" w:after="60" w:line="276" w:lineRule="auto"/>
      </w:pPr>
      <w:r>
        <w:rPr>
          <w:rFonts w:ascii="Calibri" w:hAnsi="Calibri" w:cs="Calibri"/>
          <w:b w:val="0"/>
          <w:i w:val="0"/>
          <w:color w:val="24372D"/>
          <w:sz w:val="22"/>
        </w:rPr>
        <w:t>The programme develops accurate recitation, sound memorisation, regular revision, practical Qur’anic character and confidence in reading the Qur’an independently.</w:t>
      </w:r>
    </w:p>
    <w:p>
      <w:pPr>
        <w:spacing w:before="0" w:after="160" w:line="276" w:lineRule="auto"/>
        <w:jc w:val="right"/>
      </w:pPr>
      <w:r>
        <w:rPr>
          <w:rFonts w:ascii="Arial" w:hAnsi="Arial" w:cs="Arial"/>
          <w:b w:val="0"/>
          <w:i w:val="0"/>
          <w:color w:val="5A6B60"/>
          <w:sz w:val="24"/>
        </w:rPr>
        <w:t>ينمّي البرنامج التلاوة الصحيحة، والحفظ المتقن، والمراجعة المنتظمة، والتخلق العملي بآداب القرآن، والثقة في القراءة المستقلة للقرآن الكريم.</w:t>
      </w:r>
    </w:p>
    <w:p>
      <w:pPr>
        <w:spacing w:before="320" w:after="140"/>
      </w:pPr>
      <w:r>
        <w:rPr>
          <w:rFonts w:ascii="Calibri" w:hAnsi="Calibri" w:cs="Calibri"/>
          <w:b/>
          <w:i w:val="0"/>
          <w:color w:val="07513B"/>
          <w:sz w:val="32"/>
        </w:rPr>
        <w:t>2. Programme Principles</w:t>
      </w:r>
      <w:r>
        <w:t xml:space="preserve">   |   </w:t>
      </w:r>
      <w:r>
        <w:rPr>
          <w:rFonts w:ascii="Arial" w:hAnsi="Arial" w:cs="Arial"/>
          <w:b/>
          <w:i w:val="0"/>
          <w:color w:val="07513B"/>
          <w:sz w:val="32"/>
        </w:rPr>
        <w:t>٢. مبادئ البرنامج</w:t>
      </w:r>
    </w:p>
    <w:p>
      <w:pPr>
        <w:spacing w:before="200" w:after="80"/>
      </w:pPr>
      <w:r>
        <w:rPr>
          <w:rFonts w:ascii="Calibri" w:hAnsi="Calibri" w:cs="Calibri"/>
          <w:b/>
          <w:i w:val="0"/>
          <w:color w:val="033325"/>
          <w:sz w:val="24"/>
        </w:rPr>
        <w:t>Talqīn at every stage</w:t>
      </w:r>
      <w:r>
        <w:t xml:space="preserve">   |   </w:t>
      </w:r>
      <w:r>
        <w:rPr>
          <w:rFonts w:ascii="Arial" w:hAnsi="Arial" w:cs="Arial"/>
          <w:b/>
          <w:i w:val="0"/>
          <w:color w:val="033325"/>
          <w:sz w:val="26"/>
        </w:rPr>
        <w:t>التلقين في جميع المراحل</w:t>
      </w:r>
    </w:p>
    <w:p>
      <w:pPr>
        <w:spacing w:before="0" w:after="60" w:line="276" w:lineRule="auto"/>
      </w:pPr>
      <w:r>
        <w:rPr>
          <w:rFonts w:ascii="Calibri" w:hAnsi="Calibri" w:cs="Calibri"/>
          <w:b w:val="0"/>
          <w:i w:val="0"/>
          <w:color w:val="24372D"/>
          <w:sz w:val="22"/>
        </w:rPr>
        <w:t>The teacher recites, learners listen, repeat and memorise under guided correction.</w:t>
      </w:r>
    </w:p>
    <w:p>
      <w:pPr>
        <w:spacing w:before="0" w:after="160" w:line="276" w:lineRule="auto"/>
        <w:jc w:val="right"/>
      </w:pPr>
      <w:r>
        <w:rPr>
          <w:rFonts w:ascii="Arial" w:hAnsi="Arial" w:cs="Arial"/>
          <w:b w:val="0"/>
          <w:i w:val="0"/>
          <w:color w:val="5A6B60"/>
          <w:sz w:val="24"/>
        </w:rPr>
        <w:t>يقرأ المعلّم، ويستمع المتعلمون، ويكررون ويحفظون مع التصحيح والتوجيه.</w:t>
      </w:r>
    </w:p>
    <w:p>
      <w:pPr>
        <w:spacing w:before="200" w:after="80"/>
      </w:pPr>
      <w:r>
        <w:rPr>
          <w:rFonts w:ascii="Calibri" w:hAnsi="Calibri" w:cs="Calibri"/>
          <w:b/>
          <w:i w:val="0"/>
          <w:color w:val="033325"/>
          <w:sz w:val="24"/>
        </w:rPr>
        <w:t>Memorisation with revision</w:t>
      </w:r>
      <w:r>
        <w:t xml:space="preserve">   |   </w:t>
      </w:r>
      <w:r>
        <w:rPr>
          <w:rFonts w:ascii="Arial" w:hAnsi="Arial" w:cs="Arial"/>
          <w:b/>
          <w:i w:val="0"/>
          <w:color w:val="033325"/>
          <w:sz w:val="26"/>
        </w:rPr>
        <w:t>الحفظ مع المراجعة</w:t>
      </w:r>
    </w:p>
    <w:p>
      <w:pPr>
        <w:spacing w:before="0" w:after="60" w:line="276" w:lineRule="auto"/>
      </w:pPr>
      <w:r>
        <w:rPr>
          <w:rFonts w:ascii="Calibri" w:hAnsi="Calibri" w:cs="Calibri"/>
          <w:b w:val="0"/>
          <w:i w:val="0"/>
          <w:color w:val="24372D"/>
          <w:sz w:val="22"/>
        </w:rPr>
        <w:t>New memorisation never replaces revision; both are required throughout the programme.</w:t>
      </w:r>
    </w:p>
    <w:p>
      <w:pPr>
        <w:spacing w:before="0" w:after="160" w:line="276" w:lineRule="auto"/>
        <w:jc w:val="right"/>
      </w:pPr>
      <w:r>
        <w:rPr>
          <w:rFonts w:ascii="Arial" w:hAnsi="Arial" w:cs="Arial"/>
          <w:b w:val="0"/>
          <w:i w:val="0"/>
          <w:color w:val="5A6B60"/>
          <w:sz w:val="24"/>
        </w:rPr>
        <w:t>لا يحل الحفظ الجديد محل المراجعة، بل يجتمعان في جميع مراحل البرنامج.</w:t>
      </w:r>
    </w:p>
    <w:p>
      <w:pPr>
        <w:spacing w:before="200" w:after="80"/>
      </w:pPr>
      <w:r>
        <w:rPr>
          <w:rFonts w:ascii="Calibri" w:hAnsi="Calibri" w:cs="Calibri"/>
          <w:b/>
          <w:i w:val="0"/>
          <w:color w:val="033325"/>
          <w:sz w:val="24"/>
        </w:rPr>
        <w:t>Tajweed in application</w:t>
      </w:r>
      <w:r>
        <w:t xml:space="preserve">   |   </w:t>
      </w:r>
      <w:r>
        <w:rPr>
          <w:rFonts w:ascii="Arial" w:hAnsi="Arial" w:cs="Arial"/>
          <w:b/>
          <w:i w:val="0"/>
          <w:color w:val="033325"/>
          <w:sz w:val="26"/>
        </w:rPr>
        <w:t>تطبيق التجويد</w:t>
      </w:r>
    </w:p>
    <w:p>
      <w:pPr>
        <w:spacing w:before="0" w:after="60" w:line="276" w:lineRule="auto"/>
      </w:pPr>
      <w:r>
        <w:rPr>
          <w:rFonts w:ascii="Calibri" w:hAnsi="Calibri" w:cs="Calibri"/>
          <w:b w:val="0"/>
          <w:i w:val="0"/>
          <w:color w:val="24372D"/>
          <w:sz w:val="22"/>
        </w:rPr>
        <w:t>Correct Tajweed is applied during Qur’an recitation at every level. Tajweed theory is taught as a separate subject.</w:t>
      </w:r>
    </w:p>
    <w:p>
      <w:pPr>
        <w:spacing w:before="0" w:after="160" w:line="276" w:lineRule="auto"/>
        <w:jc w:val="right"/>
      </w:pPr>
      <w:r>
        <w:rPr>
          <w:rFonts w:ascii="Arial" w:hAnsi="Arial" w:cs="Arial"/>
          <w:b w:val="0"/>
          <w:i w:val="0"/>
          <w:color w:val="5A6B60"/>
          <w:sz w:val="24"/>
        </w:rPr>
        <w:t>يُطبّق التجويد الصحيح في التلاوة في كل مستوى، أما قواعد التجويد فتُدرّس في مادة مستقلة.</w:t>
      </w:r>
    </w:p>
    <w:p>
      <w:pPr>
        <w:spacing w:before="200" w:after="80"/>
      </w:pPr>
      <w:r>
        <w:rPr>
          <w:rFonts w:ascii="Calibri" w:hAnsi="Calibri" w:cs="Calibri"/>
          <w:b/>
          <w:i w:val="0"/>
          <w:color w:val="033325"/>
          <w:sz w:val="24"/>
        </w:rPr>
        <w:t>Character through selected verses</w:t>
      </w:r>
      <w:r>
        <w:t xml:space="preserve">   |   </w:t>
      </w:r>
      <w:r>
        <w:rPr>
          <w:rFonts w:ascii="Arial" w:hAnsi="Arial" w:cs="Arial"/>
          <w:b/>
          <w:i w:val="0"/>
          <w:color w:val="033325"/>
          <w:sz w:val="26"/>
        </w:rPr>
        <w:t>التربية بالآيات المختارة</w:t>
      </w:r>
    </w:p>
    <w:p>
      <w:pPr>
        <w:spacing w:before="0" w:after="60" w:line="276" w:lineRule="auto"/>
      </w:pPr>
      <w:r>
        <w:rPr>
          <w:rFonts w:ascii="Calibri" w:hAnsi="Calibri" w:cs="Calibri"/>
          <w:b w:val="0"/>
          <w:i w:val="0"/>
          <w:color w:val="24372D"/>
          <w:sz w:val="22"/>
        </w:rPr>
        <w:t>Translation is not taught across all memorisation. Verses that teach character are translated, and learners are guided and monitored to apply their lessons in daily life.</w:t>
      </w:r>
    </w:p>
    <w:p>
      <w:pPr>
        <w:spacing w:before="0" w:after="160" w:line="276" w:lineRule="auto"/>
        <w:jc w:val="right"/>
      </w:pPr>
      <w:r>
        <w:rPr>
          <w:rFonts w:ascii="Arial" w:hAnsi="Arial" w:cs="Arial"/>
          <w:b w:val="0"/>
          <w:i w:val="0"/>
          <w:color w:val="5A6B60"/>
          <w:sz w:val="24"/>
        </w:rPr>
        <w:t>لا تُدرّس الترجمة في جميع المحفوظات، لكن تُترجم الآيات المتعلقة بالأخلاق، ويُوجّه المتعلمون ويُتابعون لتطبيق معانيها في حياتهم اليومية.</w:t>
      </w:r>
    </w:p>
    <w:p>
      <w:pPr>
        <w:spacing w:before="320" w:after="140"/>
      </w:pPr>
      <w:r>
        <w:rPr>
          <w:rFonts w:ascii="Calibri" w:hAnsi="Calibri" w:cs="Calibri"/>
          <w:b/>
          <w:i w:val="0"/>
          <w:color w:val="07513B"/>
          <w:sz w:val="32"/>
        </w:rPr>
        <w:t>3. Admission and Placement</w:t>
      </w:r>
      <w:r>
        <w:t xml:space="preserve">   |   </w:t>
      </w:r>
      <w:r>
        <w:rPr>
          <w:rFonts w:ascii="Arial" w:hAnsi="Arial" w:cs="Arial"/>
          <w:b/>
          <w:i w:val="0"/>
          <w:color w:val="07513B"/>
          <w:sz w:val="32"/>
        </w:rPr>
        <w:t>٣. القبول وتحديد المستوى</w:t>
      </w:r>
    </w:p>
    <w:p>
      <w:pPr>
        <w:spacing w:before="0" w:after="60" w:line="276" w:lineRule="auto"/>
      </w:pPr>
      <w:r>
        <w:rPr>
          <w:rFonts w:ascii="Calibri" w:hAnsi="Calibri" w:cs="Calibri"/>
          <w:b w:val="0"/>
          <w:i w:val="0"/>
          <w:color w:val="24372D"/>
          <w:sz w:val="22"/>
        </w:rPr>
        <w:t>Raudah / Nursery admission begins from age 3. Entry to Primary / Ibtidā’iyyah begins from age 6, subject to the learner’s ability to read and write and to having memorised at least 3 Hizb.</w:t>
      </w:r>
    </w:p>
    <w:p>
      <w:pPr>
        <w:spacing w:before="0" w:after="160" w:line="276" w:lineRule="auto"/>
        <w:jc w:val="right"/>
      </w:pPr>
      <w:r>
        <w:rPr>
          <w:rFonts w:ascii="Arial" w:hAnsi="Arial" w:cs="Arial"/>
          <w:b w:val="0"/>
          <w:i w:val="0"/>
          <w:color w:val="5A6B60"/>
          <w:sz w:val="24"/>
        </w:rPr>
        <w:t>يبدأ القبول في الروضة من سن ثلاث سنوات. ويبدأ القبول في المرحلة الابتدائية من سن ست سنوات، بشرط قدرة المتعلم على القراءة والكتابة وحفظه ما لا يقل عن ثلاثة أحزاب.</w:t>
      </w:r>
    </w:p>
    <w:p>
      <w:pPr>
        <w:spacing w:before="0" w:after="60" w:line="276" w:lineRule="auto"/>
      </w:pPr>
      <w:r>
        <w:rPr>
          <w:rFonts w:ascii="Calibri" w:hAnsi="Calibri" w:cs="Calibri"/>
          <w:b w:val="0"/>
          <w:i w:val="0"/>
          <w:color w:val="24372D"/>
          <w:sz w:val="22"/>
        </w:rPr>
        <w:t>Placement should consider the learner’s actual reading ability, memorisation level and revision strength. Age alone must not determine the Qur’an level.</w:t>
      </w:r>
    </w:p>
    <w:p>
      <w:pPr>
        <w:spacing w:before="0" w:after="160" w:line="276" w:lineRule="auto"/>
        <w:jc w:val="right"/>
      </w:pPr>
      <w:r>
        <w:rPr>
          <w:rFonts w:ascii="Arial" w:hAnsi="Arial" w:cs="Arial"/>
          <w:b w:val="0"/>
          <w:i w:val="0"/>
          <w:color w:val="5A6B60"/>
          <w:sz w:val="24"/>
        </w:rPr>
        <w:t>يراعى في تحديد المستوى قدرة المتعلم الفعلية على القراءة، ومستوى الحفظ، وقوة المراجعة، ولا يكون العمر وحده معياراً لمستوى القرآن.</w:t>
      </w:r>
    </w:p>
    <w:p>
      <w:r>
        <w:br w:type="page"/>
      </w:r>
    </w:p>
    <w:p>
      <w:pPr>
        <w:spacing w:before="320" w:after="140"/>
      </w:pPr>
      <w:r>
        <w:rPr>
          <w:rFonts w:ascii="Calibri" w:hAnsi="Calibri" w:cs="Calibri"/>
          <w:b/>
          <w:i w:val="0"/>
          <w:color w:val="07513B"/>
          <w:sz w:val="32"/>
        </w:rPr>
        <w:t>4. Memorisation Pathway</w:t>
      </w:r>
      <w:r>
        <w:t xml:space="preserve">   |   </w:t>
      </w:r>
      <w:r>
        <w:rPr>
          <w:rFonts w:ascii="Arial" w:hAnsi="Arial" w:cs="Arial"/>
          <w:b/>
          <w:i w:val="0"/>
          <w:color w:val="07513B"/>
          <w:sz w:val="32"/>
        </w:rPr>
        <w:t>٤. مسار الحفظ</w:t>
      </w:r>
    </w:p>
    <w:p>
      <w:pPr>
        <w:spacing w:before="0" w:after="60" w:line="276" w:lineRule="auto"/>
      </w:pPr>
      <w:r>
        <w:rPr>
          <w:rFonts w:ascii="Calibri" w:hAnsi="Calibri" w:cs="Calibri"/>
          <w:b w:val="0"/>
          <w:i w:val="0"/>
          <w:color w:val="24372D"/>
          <w:sz w:val="22"/>
        </w:rPr>
        <w:t>The full programme is designed as one connected route of 60 Hizb: 5 Hizb in Raudah / Nursery and 55 Hizb in Ibtidā’iyyah / Primary. Together, these targets complete the entire Qur’an.</w:t>
      </w:r>
    </w:p>
    <w:p>
      <w:pPr>
        <w:spacing w:before="0" w:after="160" w:line="276" w:lineRule="auto"/>
        <w:jc w:val="right"/>
      </w:pPr>
      <w:r>
        <w:rPr>
          <w:rFonts w:ascii="Arial" w:hAnsi="Arial" w:cs="Arial"/>
          <w:b w:val="0"/>
          <w:i w:val="0"/>
          <w:color w:val="5A6B60"/>
          <w:sz w:val="24"/>
        </w:rPr>
        <w:t>صُمّم البرنامج كاملاً كمسار متصل من ستين حزباً: خمسة أحزاب في الروضة وخمسة وخمسون حزباً في المرحلة الابتدائية، وبذلك يكتمل حفظ القرآن الكريم كله.</w:t>
      </w:r>
    </w:p>
    <w:tbl>
      <w:tblPr>
        <w:tblW w:type="dxa" w:w="9360"/>
        <w:jc w:val="center"/>
        <w:tblLayout w:type="fixed"/>
        <w:tblLook w:firstColumn="1" w:firstRow="1" w:lastColumn="0" w:lastRow="0" w:noHBand="0" w:noVBand="1" w:val="04A0"/>
        <w:tblInd w:w="120" w:type="dxa"/>
      </w:tblPr>
      <w:tblGrid>
        <w:gridCol w:w="1850"/>
        <w:gridCol w:w="1600"/>
        <w:gridCol w:w="1600"/>
        <w:gridCol w:w="2150"/>
        <w:gridCol w:w="2160"/>
      </w:tblGrid>
      <w:tr>
        <w:tc>
          <w:tcPr>
            <w:tcW w:type="dxa" w:w="1850"/>
            <w:vAlign w:val="center"/>
            <w:tcMar>
              <w:top w:w="110" w:type="dxa"/>
              <w:start w:w="110" w:type="dxa"/>
              <w:bottom w:w="110" w:type="dxa"/>
              <w:end w:w="110" w:type="dxa"/>
            </w:tcMar>
            <w:shd w:fill="07513B"/>
          </w:tcPr>
          <w:p>
            <w:pPr>
              <w:spacing w:after="40"/>
            </w:pPr>
            <w:r/>
            <w:r>
              <w:rPr>
                <w:rFonts w:ascii="Calibri" w:hAnsi="Calibri" w:cs="Calibri"/>
                <w:b/>
                <w:i w:val="0"/>
                <w:color w:val="FFFFFF"/>
                <w:sz w:val="19"/>
              </w:rPr>
              <w:t>Stage</w:t>
            </w:r>
          </w:p>
          <w:p>
            <w:pPr>
              <w:spacing w:after="0"/>
              <w:jc w:val="right"/>
            </w:pPr>
            <w:r>
              <w:rPr>
                <w:rFonts w:ascii="Arial" w:hAnsi="Arial" w:cs="Arial"/>
                <w:b/>
                <w:i w:val="0"/>
                <w:color w:val="FFFFFF"/>
                <w:sz w:val="20"/>
              </w:rPr>
              <w:t>المرحلة</w:t>
            </w:r>
          </w:p>
        </w:tc>
        <w:tc>
          <w:tcPr>
            <w:tcW w:type="dxa" w:w="1600"/>
            <w:vAlign w:val="center"/>
            <w:tcMar>
              <w:top w:w="110" w:type="dxa"/>
              <w:start w:w="110" w:type="dxa"/>
              <w:bottom w:w="110" w:type="dxa"/>
              <w:end w:w="110" w:type="dxa"/>
            </w:tcMar>
            <w:shd w:fill="07513B"/>
          </w:tcPr>
          <w:p>
            <w:pPr>
              <w:spacing w:after="40"/>
            </w:pPr>
            <w:r/>
            <w:r>
              <w:rPr>
                <w:rFonts w:ascii="Calibri" w:hAnsi="Calibri" w:cs="Calibri"/>
                <w:b/>
                <w:i w:val="0"/>
                <w:color w:val="FFFFFF"/>
                <w:sz w:val="19"/>
              </w:rPr>
              <w:t>Year</w:t>
            </w:r>
          </w:p>
          <w:p>
            <w:pPr>
              <w:spacing w:after="0"/>
              <w:jc w:val="right"/>
            </w:pPr>
            <w:r>
              <w:rPr>
                <w:rFonts w:ascii="Arial" w:hAnsi="Arial" w:cs="Arial"/>
                <w:b/>
                <w:i w:val="0"/>
                <w:color w:val="FFFFFF"/>
                <w:sz w:val="20"/>
              </w:rPr>
              <w:t>السنة</w:t>
            </w:r>
          </w:p>
        </w:tc>
        <w:tc>
          <w:tcPr>
            <w:tcW w:type="dxa" w:w="1600"/>
            <w:vAlign w:val="center"/>
            <w:tcMar>
              <w:top w:w="110" w:type="dxa"/>
              <w:start w:w="110" w:type="dxa"/>
              <w:bottom w:w="110" w:type="dxa"/>
              <w:end w:w="110" w:type="dxa"/>
            </w:tcMar>
            <w:shd w:fill="07513B"/>
          </w:tcPr>
          <w:p>
            <w:pPr>
              <w:spacing w:after="40"/>
            </w:pPr>
            <w:r/>
            <w:r>
              <w:rPr>
                <w:rFonts w:ascii="Calibri" w:hAnsi="Calibri" w:cs="Calibri"/>
                <w:b/>
                <w:i w:val="0"/>
                <w:color w:val="FFFFFF"/>
                <w:sz w:val="19"/>
              </w:rPr>
              <w:t>Target</w:t>
            </w:r>
          </w:p>
          <w:p>
            <w:pPr>
              <w:spacing w:after="0"/>
              <w:jc w:val="right"/>
            </w:pPr>
            <w:r>
              <w:rPr>
                <w:rFonts w:ascii="Arial" w:hAnsi="Arial" w:cs="Arial"/>
                <w:b/>
                <w:i w:val="0"/>
                <w:color w:val="FFFFFF"/>
                <w:sz w:val="20"/>
              </w:rPr>
              <w:t>المستهدف</w:t>
            </w:r>
          </w:p>
        </w:tc>
        <w:tc>
          <w:tcPr>
            <w:tcW w:type="dxa" w:w="2150"/>
            <w:vAlign w:val="center"/>
            <w:tcMar>
              <w:top w:w="110" w:type="dxa"/>
              <w:start w:w="110" w:type="dxa"/>
              <w:bottom w:w="110" w:type="dxa"/>
              <w:end w:w="110" w:type="dxa"/>
            </w:tcMar>
            <w:shd w:fill="07513B"/>
          </w:tcPr>
          <w:p>
            <w:pPr>
              <w:spacing w:after="40"/>
            </w:pPr>
            <w:r/>
            <w:r>
              <w:rPr>
                <w:rFonts w:ascii="Calibri" w:hAnsi="Calibri" w:cs="Calibri"/>
                <w:b/>
                <w:i w:val="0"/>
                <w:color w:val="FFFFFF"/>
                <w:sz w:val="19"/>
              </w:rPr>
              <w:t>Memorisation range</w:t>
            </w:r>
          </w:p>
          <w:p>
            <w:pPr>
              <w:spacing w:after="0"/>
              <w:jc w:val="right"/>
            </w:pPr>
            <w:r>
              <w:rPr>
                <w:rFonts w:ascii="Arial" w:hAnsi="Arial" w:cs="Arial"/>
                <w:b/>
                <w:i w:val="0"/>
                <w:color w:val="FFFFFF"/>
                <w:sz w:val="20"/>
              </w:rPr>
              <w:t>نطاق الحفظ</w:t>
            </w:r>
          </w:p>
        </w:tc>
        <w:tc>
          <w:tcPr>
            <w:tcW w:type="dxa" w:w="2160"/>
            <w:vAlign w:val="center"/>
            <w:tcMar>
              <w:top w:w="110" w:type="dxa"/>
              <w:start w:w="110" w:type="dxa"/>
              <w:bottom w:w="110" w:type="dxa"/>
              <w:end w:w="110" w:type="dxa"/>
            </w:tcMar>
            <w:shd w:fill="07513B"/>
          </w:tcPr>
          <w:p>
            <w:pPr>
              <w:spacing w:after="40"/>
            </w:pPr>
            <w:r/>
            <w:r>
              <w:rPr>
                <w:rFonts w:ascii="Calibri" w:hAnsi="Calibri" w:cs="Calibri"/>
                <w:b/>
                <w:i w:val="0"/>
                <w:color w:val="FFFFFF"/>
                <w:sz w:val="19"/>
              </w:rPr>
              <w:t>Main emphasis</w:t>
            </w:r>
          </w:p>
          <w:p>
            <w:pPr>
              <w:spacing w:after="0"/>
              <w:jc w:val="right"/>
            </w:pPr>
            <w:r>
              <w:rPr>
                <w:rFonts w:ascii="Arial" w:hAnsi="Arial" w:cs="Arial"/>
                <w:b/>
                <w:i w:val="0"/>
                <w:color w:val="FFFFFF"/>
                <w:sz w:val="20"/>
              </w:rPr>
              <w:t>التركيز الرئيس</w:t>
            </w:r>
          </w:p>
        </w:tc>
      </w:tr>
      <w:tr>
        <w:tc>
          <w:tcPr>
            <w:tcW w:type="dxa" w:w="1850"/>
          </w:tcPr>
          <w:p>
            <w:pPr>
              <w:spacing w:after="40"/>
            </w:pPr>
            <w:r/>
            <w:r>
              <w:rPr>
                <w:rFonts w:ascii="Calibri" w:hAnsi="Calibri" w:cs="Calibri"/>
                <w:b w:val="0"/>
                <w:i w:val="0"/>
                <w:color w:val="24372D"/>
                <w:sz w:val="19"/>
              </w:rPr>
              <w:t>Raudah / Nursery</w:t>
            </w:r>
          </w:p>
          <w:p>
            <w:pPr>
              <w:spacing w:after="0"/>
              <w:jc w:val="right"/>
            </w:pPr>
            <w:r>
              <w:rPr>
                <w:rFonts w:ascii="Arial" w:hAnsi="Arial" w:cs="Arial"/>
                <w:b w:val="0"/>
                <w:i w:val="0"/>
                <w:color w:val="5A6B60"/>
                <w:sz w:val="20"/>
              </w:rPr>
              <w:t>الروضة</w:t>
            </w:r>
          </w:p>
        </w:tc>
        <w:tc>
          <w:tcPr>
            <w:tcW w:type="dxa" w:w="1600"/>
          </w:tcPr>
          <w:p>
            <w:pPr>
              <w:spacing w:after="40"/>
            </w:pPr>
            <w:r/>
            <w:r>
              <w:rPr>
                <w:rFonts w:ascii="Calibri" w:hAnsi="Calibri" w:cs="Calibri"/>
                <w:b w:val="0"/>
                <w:i w:val="0"/>
                <w:color w:val="24372D"/>
                <w:sz w:val="19"/>
              </w:rPr>
              <w:t>Year 1</w:t>
            </w:r>
          </w:p>
          <w:p>
            <w:pPr>
              <w:spacing w:after="0"/>
              <w:jc w:val="right"/>
            </w:pPr>
            <w:r>
              <w:rPr>
                <w:rFonts w:ascii="Arial" w:hAnsi="Arial" w:cs="Arial"/>
                <w:b w:val="0"/>
                <w:i w:val="0"/>
                <w:color w:val="5A6B60"/>
                <w:sz w:val="20"/>
              </w:rPr>
              <w:t>السنة الأولى</w:t>
            </w:r>
          </w:p>
        </w:tc>
        <w:tc>
          <w:tcPr>
            <w:tcW w:type="dxa" w:w="1600"/>
          </w:tcPr>
          <w:p>
            <w:pPr>
              <w:spacing w:after="40"/>
            </w:pPr>
            <w:r/>
            <w:r>
              <w:rPr>
                <w:rFonts w:ascii="Calibri" w:hAnsi="Calibri" w:cs="Calibri"/>
                <w:b w:val="0"/>
                <w:i w:val="0"/>
                <w:color w:val="24372D"/>
                <w:sz w:val="19"/>
              </w:rPr>
              <w:t>1 Hizb</w:t>
            </w:r>
          </w:p>
          <w:p>
            <w:pPr>
              <w:spacing w:after="0"/>
              <w:jc w:val="right"/>
            </w:pPr>
            <w:r>
              <w:rPr>
                <w:rFonts w:ascii="Arial" w:hAnsi="Arial" w:cs="Arial"/>
                <w:b w:val="0"/>
                <w:i w:val="0"/>
                <w:color w:val="5A6B60"/>
                <w:sz w:val="20"/>
              </w:rPr>
              <w:t>حزب واحد</w:t>
            </w:r>
          </w:p>
        </w:tc>
        <w:tc>
          <w:tcPr>
            <w:tcW w:type="dxa" w:w="2150"/>
          </w:tcPr>
          <w:p>
            <w:pPr>
              <w:spacing w:after="40"/>
            </w:pPr>
            <w:r/>
            <w:r>
              <w:rPr>
                <w:rFonts w:ascii="Calibri" w:hAnsi="Calibri" w:cs="Calibri"/>
                <w:b w:val="0"/>
                <w:i w:val="0"/>
                <w:color w:val="24372D"/>
                <w:sz w:val="19"/>
              </w:rPr>
              <w:t>An-Nās onward</w:t>
            </w:r>
          </w:p>
          <w:p>
            <w:pPr>
              <w:spacing w:after="0"/>
              <w:jc w:val="right"/>
            </w:pPr>
            <w:r>
              <w:rPr>
                <w:rFonts w:ascii="Arial" w:hAnsi="Arial" w:cs="Arial"/>
                <w:b w:val="0"/>
                <w:i w:val="0"/>
                <w:color w:val="5A6B60"/>
                <w:sz w:val="20"/>
              </w:rPr>
              <w:t>من الناس صعوداً</w:t>
            </w:r>
          </w:p>
        </w:tc>
        <w:tc>
          <w:tcPr>
            <w:tcW w:type="dxa" w:w="2160"/>
          </w:tcPr>
          <w:p>
            <w:pPr>
              <w:spacing w:after="40"/>
            </w:pPr>
            <w:r/>
            <w:r>
              <w:rPr>
                <w:rFonts w:ascii="Calibri" w:hAnsi="Calibri" w:cs="Calibri"/>
                <w:b w:val="0"/>
                <w:i w:val="0"/>
                <w:color w:val="24372D"/>
                <w:sz w:val="19"/>
              </w:rPr>
              <w:t>Huruf and guided reading</w:t>
            </w:r>
          </w:p>
          <w:p>
            <w:pPr>
              <w:spacing w:after="0"/>
              <w:jc w:val="right"/>
            </w:pPr>
            <w:r>
              <w:rPr>
                <w:rFonts w:ascii="Arial" w:hAnsi="Arial" w:cs="Arial"/>
                <w:b w:val="0"/>
                <w:i w:val="0"/>
                <w:color w:val="5A6B60"/>
                <w:sz w:val="20"/>
              </w:rPr>
              <w:t>الحروف والقراءة الموجّهة</w:t>
            </w:r>
          </w:p>
        </w:tc>
      </w:tr>
      <w:tr>
        <w:tc>
          <w:tcPr>
            <w:tcW w:type="dxa" w:w="1850"/>
          </w:tcPr>
          <w:p>
            <w:pPr>
              <w:spacing w:after="40"/>
            </w:pPr>
            <w:r/>
            <w:r>
              <w:rPr>
                <w:rFonts w:ascii="Calibri" w:hAnsi="Calibri" w:cs="Calibri"/>
                <w:b w:val="0"/>
                <w:i w:val="0"/>
                <w:color w:val="24372D"/>
                <w:sz w:val="19"/>
              </w:rPr>
              <w:t>Raudah / Nursery</w:t>
            </w:r>
          </w:p>
          <w:p>
            <w:pPr>
              <w:spacing w:after="0"/>
              <w:jc w:val="right"/>
            </w:pPr>
            <w:r>
              <w:rPr>
                <w:rFonts w:ascii="Arial" w:hAnsi="Arial" w:cs="Arial"/>
                <w:b w:val="0"/>
                <w:i w:val="0"/>
                <w:color w:val="5A6B60"/>
                <w:sz w:val="20"/>
              </w:rPr>
              <w:t>الروضة</w:t>
            </w:r>
          </w:p>
        </w:tc>
        <w:tc>
          <w:tcPr>
            <w:tcW w:type="dxa" w:w="1600"/>
          </w:tcPr>
          <w:p>
            <w:pPr>
              <w:spacing w:after="40"/>
            </w:pPr>
            <w:r/>
            <w:r>
              <w:rPr>
                <w:rFonts w:ascii="Calibri" w:hAnsi="Calibri" w:cs="Calibri"/>
                <w:b w:val="0"/>
                <w:i w:val="0"/>
                <w:color w:val="24372D"/>
                <w:sz w:val="19"/>
              </w:rPr>
              <w:t>Year 2</w:t>
            </w:r>
          </w:p>
          <w:p>
            <w:pPr>
              <w:spacing w:after="0"/>
              <w:jc w:val="right"/>
            </w:pPr>
            <w:r>
              <w:rPr>
                <w:rFonts w:ascii="Arial" w:hAnsi="Arial" w:cs="Arial"/>
                <w:b w:val="0"/>
                <w:i w:val="0"/>
                <w:color w:val="5A6B60"/>
                <w:sz w:val="20"/>
              </w:rPr>
              <w:t>السنة الثانية</w:t>
            </w:r>
          </w:p>
        </w:tc>
        <w:tc>
          <w:tcPr>
            <w:tcW w:type="dxa" w:w="1600"/>
          </w:tcPr>
          <w:p>
            <w:pPr>
              <w:spacing w:after="40"/>
            </w:pPr>
            <w:r/>
            <w:r>
              <w:rPr>
                <w:rFonts w:ascii="Calibri" w:hAnsi="Calibri" w:cs="Calibri"/>
                <w:b w:val="0"/>
                <w:i w:val="0"/>
                <w:color w:val="24372D"/>
                <w:sz w:val="19"/>
              </w:rPr>
              <w:t>2 Hizb</w:t>
            </w:r>
          </w:p>
          <w:p>
            <w:pPr>
              <w:spacing w:after="0"/>
              <w:jc w:val="right"/>
            </w:pPr>
            <w:r>
              <w:rPr>
                <w:rFonts w:ascii="Arial" w:hAnsi="Arial" w:cs="Arial"/>
                <w:b w:val="0"/>
                <w:i w:val="0"/>
                <w:color w:val="5A6B60"/>
                <w:sz w:val="20"/>
              </w:rPr>
              <w:t>حزبان</w:t>
            </w:r>
          </w:p>
        </w:tc>
        <w:tc>
          <w:tcPr>
            <w:tcW w:type="dxa" w:w="2150"/>
          </w:tcPr>
          <w:p>
            <w:pPr>
              <w:spacing w:after="40"/>
            </w:pPr>
            <w:r/>
            <w:r>
              <w:rPr>
                <w:rFonts w:ascii="Calibri" w:hAnsi="Calibri" w:cs="Calibri"/>
                <w:b w:val="0"/>
                <w:i w:val="0"/>
                <w:color w:val="24372D"/>
                <w:sz w:val="19"/>
              </w:rPr>
              <w:t>Continue upward</w:t>
            </w:r>
          </w:p>
          <w:p>
            <w:pPr>
              <w:spacing w:after="0"/>
              <w:jc w:val="right"/>
            </w:pPr>
            <w:r>
              <w:rPr>
                <w:rFonts w:ascii="Arial" w:hAnsi="Arial" w:cs="Arial"/>
                <w:b w:val="0"/>
                <w:i w:val="0"/>
                <w:color w:val="5A6B60"/>
                <w:sz w:val="20"/>
              </w:rPr>
              <w:t>استمرار صعوداً</w:t>
            </w:r>
          </w:p>
        </w:tc>
        <w:tc>
          <w:tcPr>
            <w:tcW w:type="dxa" w:w="2160"/>
          </w:tcPr>
          <w:p>
            <w:pPr>
              <w:spacing w:after="40"/>
            </w:pPr>
            <w:r/>
            <w:r>
              <w:rPr>
                <w:rFonts w:ascii="Calibri" w:hAnsi="Calibri" w:cs="Calibri"/>
                <w:b w:val="0"/>
                <w:i w:val="0"/>
                <w:color w:val="24372D"/>
                <w:sz w:val="19"/>
              </w:rPr>
              <w:t>Independent reading development</w:t>
            </w:r>
          </w:p>
          <w:p>
            <w:pPr>
              <w:spacing w:after="0"/>
              <w:jc w:val="right"/>
            </w:pPr>
            <w:r>
              <w:rPr>
                <w:rFonts w:ascii="Arial" w:hAnsi="Arial" w:cs="Arial"/>
                <w:b w:val="0"/>
                <w:i w:val="0"/>
                <w:color w:val="5A6B60"/>
                <w:sz w:val="20"/>
              </w:rPr>
              <w:t>تنمية القراءة المستقلة</w:t>
            </w:r>
          </w:p>
        </w:tc>
      </w:tr>
      <w:tr>
        <w:tc>
          <w:tcPr>
            <w:tcW w:type="dxa" w:w="1850"/>
          </w:tcPr>
          <w:p>
            <w:pPr>
              <w:spacing w:after="40"/>
            </w:pPr>
            <w:r/>
            <w:r>
              <w:rPr>
                <w:rFonts w:ascii="Calibri" w:hAnsi="Calibri" w:cs="Calibri"/>
                <w:b w:val="0"/>
                <w:i w:val="0"/>
                <w:color w:val="24372D"/>
                <w:sz w:val="19"/>
              </w:rPr>
              <w:t>Raudah / Nursery</w:t>
            </w:r>
          </w:p>
          <w:p>
            <w:pPr>
              <w:spacing w:after="0"/>
              <w:jc w:val="right"/>
            </w:pPr>
            <w:r>
              <w:rPr>
                <w:rFonts w:ascii="Arial" w:hAnsi="Arial" w:cs="Arial"/>
                <w:b w:val="0"/>
                <w:i w:val="0"/>
                <w:color w:val="5A6B60"/>
                <w:sz w:val="20"/>
              </w:rPr>
              <w:t>الروضة</w:t>
            </w:r>
          </w:p>
        </w:tc>
        <w:tc>
          <w:tcPr>
            <w:tcW w:type="dxa" w:w="1600"/>
          </w:tcPr>
          <w:p>
            <w:pPr>
              <w:spacing w:after="40"/>
            </w:pPr>
            <w:r/>
            <w:r>
              <w:rPr>
                <w:rFonts w:ascii="Calibri" w:hAnsi="Calibri" w:cs="Calibri"/>
                <w:b w:val="0"/>
                <w:i w:val="0"/>
                <w:color w:val="24372D"/>
                <w:sz w:val="19"/>
              </w:rPr>
              <w:t>Year 3</w:t>
            </w:r>
          </w:p>
          <w:p>
            <w:pPr>
              <w:spacing w:after="0"/>
              <w:jc w:val="right"/>
            </w:pPr>
            <w:r>
              <w:rPr>
                <w:rFonts w:ascii="Arial" w:hAnsi="Arial" w:cs="Arial"/>
                <w:b w:val="0"/>
                <w:i w:val="0"/>
                <w:color w:val="5A6B60"/>
                <w:sz w:val="20"/>
              </w:rPr>
              <w:t>السنة الثالثة</w:t>
            </w:r>
          </w:p>
        </w:tc>
        <w:tc>
          <w:tcPr>
            <w:tcW w:type="dxa" w:w="1600"/>
          </w:tcPr>
          <w:p>
            <w:pPr>
              <w:spacing w:after="40"/>
            </w:pPr>
            <w:r/>
            <w:r>
              <w:rPr>
                <w:rFonts w:ascii="Calibri" w:hAnsi="Calibri" w:cs="Calibri"/>
                <w:b w:val="0"/>
                <w:i w:val="0"/>
                <w:color w:val="24372D"/>
                <w:sz w:val="19"/>
              </w:rPr>
              <w:t>2 Hizb</w:t>
            </w:r>
          </w:p>
          <w:p>
            <w:pPr>
              <w:spacing w:after="0"/>
              <w:jc w:val="right"/>
            </w:pPr>
            <w:r>
              <w:rPr>
                <w:rFonts w:ascii="Arial" w:hAnsi="Arial" w:cs="Arial"/>
                <w:b w:val="0"/>
                <w:i w:val="0"/>
                <w:color w:val="5A6B60"/>
                <w:sz w:val="20"/>
              </w:rPr>
              <w:t>حزبان</w:t>
            </w:r>
          </w:p>
        </w:tc>
        <w:tc>
          <w:tcPr>
            <w:tcW w:type="dxa" w:w="2150"/>
          </w:tcPr>
          <w:p>
            <w:pPr>
              <w:spacing w:after="40"/>
            </w:pPr>
            <w:r/>
            <w:r>
              <w:rPr>
                <w:rFonts w:ascii="Calibri" w:hAnsi="Calibri" w:cs="Calibri"/>
                <w:b w:val="0"/>
                <w:i w:val="0"/>
                <w:color w:val="24372D"/>
                <w:sz w:val="19"/>
              </w:rPr>
              <w:t>Ends at Al-Jumuʿah</w:t>
            </w:r>
          </w:p>
          <w:p>
            <w:pPr>
              <w:spacing w:after="0"/>
              <w:jc w:val="right"/>
            </w:pPr>
            <w:r>
              <w:rPr>
                <w:rFonts w:ascii="Arial" w:hAnsi="Arial" w:cs="Arial"/>
                <w:b w:val="0"/>
                <w:i w:val="0"/>
                <w:color w:val="5A6B60"/>
                <w:sz w:val="20"/>
              </w:rPr>
              <w:t>ينتهي عند الجمعة</w:t>
            </w:r>
          </w:p>
        </w:tc>
        <w:tc>
          <w:tcPr>
            <w:tcW w:type="dxa" w:w="2160"/>
          </w:tcPr>
          <w:p>
            <w:pPr>
              <w:spacing w:after="40"/>
            </w:pPr>
            <w:r/>
            <w:r>
              <w:rPr>
                <w:rFonts w:ascii="Calibri" w:hAnsi="Calibri" w:cs="Calibri"/>
                <w:b w:val="0"/>
                <w:i w:val="0"/>
                <w:color w:val="24372D"/>
                <w:sz w:val="19"/>
              </w:rPr>
              <w:t>Reading readiness and revision</w:t>
            </w:r>
          </w:p>
          <w:p>
            <w:pPr>
              <w:spacing w:after="0"/>
              <w:jc w:val="right"/>
            </w:pPr>
            <w:r>
              <w:rPr>
                <w:rFonts w:ascii="Arial" w:hAnsi="Arial" w:cs="Arial"/>
                <w:b w:val="0"/>
                <w:i w:val="0"/>
                <w:color w:val="5A6B60"/>
                <w:sz w:val="20"/>
              </w:rPr>
              <w:t>الاستعداد للقراءة والمراجعة</w:t>
            </w:r>
          </w:p>
        </w:tc>
      </w:tr>
      <w:tr>
        <w:tc>
          <w:tcPr>
            <w:tcW w:type="dxa" w:w="1850"/>
          </w:tcPr>
          <w:p>
            <w:pPr>
              <w:spacing w:after="40"/>
            </w:pPr>
            <w:r/>
            <w:r>
              <w:rPr>
                <w:rFonts w:ascii="Calibri" w:hAnsi="Calibri" w:cs="Calibri"/>
                <w:b w:val="0"/>
                <w:i w:val="0"/>
                <w:color w:val="24372D"/>
                <w:sz w:val="19"/>
              </w:rPr>
              <w:t>Ibtidā’iyyah / Primary</w:t>
            </w:r>
          </w:p>
          <w:p>
            <w:pPr>
              <w:spacing w:after="0"/>
              <w:jc w:val="right"/>
            </w:pPr>
            <w:r>
              <w:rPr>
                <w:rFonts w:ascii="Arial" w:hAnsi="Arial" w:cs="Arial"/>
                <w:b w:val="0"/>
                <w:i w:val="0"/>
                <w:color w:val="5A6B60"/>
                <w:sz w:val="20"/>
              </w:rPr>
              <w:t>الابتدائية</w:t>
            </w:r>
          </w:p>
        </w:tc>
        <w:tc>
          <w:tcPr>
            <w:tcW w:type="dxa" w:w="1600"/>
          </w:tcPr>
          <w:p>
            <w:pPr>
              <w:spacing w:after="40"/>
            </w:pPr>
            <w:r/>
            <w:r>
              <w:rPr>
                <w:rFonts w:ascii="Calibri" w:hAnsi="Calibri" w:cs="Calibri"/>
                <w:b w:val="0"/>
                <w:i w:val="0"/>
                <w:color w:val="24372D"/>
                <w:sz w:val="19"/>
              </w:rPr>
              <w:t>Year 1</w:t>
            </w:r>
          </w:p>
          <w:p>
            <w:pPr>
              <w:spacing w:after="0"/>
              <w:jc w:val="right"/>
            </w:pPr>
            <w:r>
              <w:rPr>
                <w:rFonts w:ascii="Arial" w:hAnsi="Arial" w:cs="Arial"/>
                <w:b w:val="0"/>
                <w:i w:val="0"/>
                <w:color w:val="5A6B60"/>
                <w:sz w:val="20"/>
              </w:rPr>
              <w:t>السنة الأولى</w:t>
            </w:r>
          </w:p>
        </w:tc>
        <w:tc>
          <w:tcPr>
            <w:tcW w:type="dxa" w:w="1600"/>
          </w:tcPr>
          <w:p>
            <w:pPr>
              <w:spacing w:after="40"/>
            </w:pPr>
            <w:r/>
            <w:r>
              <w:rPr>
                <w:rFonts w:ascii="Calibri" w:hAnsi="Calibri" w:cs="Calibri"/>
                <w:b w:val="0"/>
                <w:i w:val="0"/>
                <w:color w:val="24372D"/>
                <w:sz w:val="19"/>
              </w:rPr>
              <w:t>6 Hizb</w:t>
            </w:r>
          </w:p>
          <w:p>
            <w:pPr>
              <w:spacing w:after="0"/>
              <w:jc w:val="right"/>
            </w:pPr>
            <w:r>
              <w:rPr>
                <w:rFonts w:ascii="Arial" w:hAnsi="Arial" w:cs="Arial"/>
                <w:b w:val="0"/>
                <w:i w:val="0"/>
                <w:color w:val="5A6B60"/>
                <w:sz w:val="20"/>
              </w:rPr>
              <w:t>٦ أحزاب</w:t>
            </w:r>
          </w:p>
        </w:tc>
        <w:tc>
          <w:tcPr>
            <w:tcW w:type="dxa" w:w="2150"/>
          </w:tcPr>
          <w:p>
            <w:pPr>
              <w:spacing w:after="40"/>
            </w:pPr>
            <w:r/>
            <w:r>
              <w:rPr>
                <w:rFonts w:ascii="Calibri" w:hAnsi="Calibri" w:cs="Calibri"/>
                <w:b w:val="0"/>
                <w:i w:val="0"/>
                <w:color w:val="24372D"/>
                <w:sz w:val="19"/>
              </w:rPr>
              <w:t>Begins Al-Baqarah</w:t>
            </w:r>
          </w:p>
          <w:p>
            <w:pPr>
              <w:spacing w:after="0"/>
              <w:jc w:val="right"/>
            </w:pPr>
            <w:r>
              <w:rPr>
                <w:rFonts w:ascii="Arial" w:hAnsi="Arial" w:cs="Arial"/>
                <w:b w:val="0"/>
                <w:i w:val="0"/>
                <w:color w:val="5A6B60"/>
                <w:sz w:val="20"/>
              </w:rPr>
              <w:t>يبدأ من البقرة</w:t>
            </w:r>
          </w:p>
        </w:tc>
        <w:tc>
          <w:tcPr>
            <w:tcW w:type="dxa" w:w="2160"/>
          </w:tcPr>
          <w:p>
            <w:pPr>
              <w:spacing w:after="40"/>
            </w:pPr>
            <w:r/>
            <w:r>
              <w:rPr>
                <w:rFonts w:ascii="Calibri" w:hAnsi="Calibri" w:cs="Calibri"/>
                <w:b w:val="0"/>
                <w:i w:val="0"/>
                <w:color w:val="24372D"/>
                <w:sz w:val="19"/>
              </w:rPr>
              <w:t>Talqīn, Tuhfat al-Aṭfāl, full revision</w:t>
            </w:r>
          </w:p>
          <w:p>
            <w:pPr>
              <w:spacing w:after="0"/>
              <w:jc w:val="right"/>
            </w:pPr>
            <w:r>
              <w:rPr>
                <w:rFonts w:ascii="Arial" w:hAnsi="Arial" w:cs="Arial"/>
                <w:b w:val="0"/>
                <w:i w:val="0"/>
                <w:color w:val="5A6B60"/>
                <w:sz w:val="20"/>
              </w:rPr>
              <w:t>التلقين وتحفة الأطفال والمراجعة الكاملة</w:t>
            </w:r>
          </w:p>
        </w:tc>
      </w:tr>
      <w:tr>
        <w:tc>
          <w:tcPr>
            <w:tcW w:type="dxa" w:w="1850"/>
          </w:tcPr>
          <w:p>
            <w:pPr>
              <w:spacing w:after="40"/>
            </w:pPr>
            <w:r/>
            <w:r>
              <w:rPr>
                <w:rFonts w:ascii="Calibri" w:hAnsi="Calibri" w:cs="Calibri"/>
                <w:b w:val="0"/>
                <w:i w:val="0"/>
                <w:color w:val="24372D"/>
                <w:sz w:val="19"/>
              </w:rPr>
              <w:t>Ibtidā’iyyah / Primary</w:t>
            </w:r>
          </w:p>
          <w:p>
            <w:pPr>
              <w:spacing w:after="0"/>
              <w:jc w:val="right"/>
            </w:pPr>
            <w:r>
              <w:rPr>
                <w:rFonts w:ascii="Arial" w:hAnsi="Arial" w:cs="Arial"/>
                <w:b w:val="0"/>
                <w:i w:val="0"/>
                <w:color w:val="5A6B60"/>
                <w:sz w:val="20"/>
              </w:rPr>
              <w:t>الابتدائية</w:t>
            </w:r>
          </w:p>
        </w:tc>
        <w:tc>
          <w:tcPr>
            <w:tcW w:type="dxa" w:w="1600"/>
          </w:tcPr>
          <w:p>
            <w:pPr>
              <w:spacing w:after="40"/>
            </w:pPr>
            <w:r/>
            <w:r>
              <w:rPr>
                <w:rFonts w:ascii="Calibri" w:hAnsi="Calibri" w:cs="Calibri"/>
                <w:b w:val="0"/>
                <w:i w:val="0"/>
                <w:color w:val="24372D"/>
                <w:sz w:val="19"/>
              </w:rPr>
              <w:t>Year 2</w:t>
            </w:r>
          </w:p>
          <w:p>
            <w:pPr>
              <w:spacing w:after="0"/>
              <w:jc w:val="right"/>
            </w:pPr>
            <w:r>
              <w:rPr>
                <w:rFonts w:ascii="Arial" w:hAnsi="Arial" w:cs="Arial"/>
                <w:b w:val="0"/>
                <w:i w:val="0"/>
                <w:color w:val="5A6B60"/>
                <w:sz w:val="20"/>
              </w:rPr>
              <w:t>السنة الثانية</w:t>
            </w:r>
          </w:p>
        </w:tc>
        <w:tc>
          <w:tcPr>
            <w:tcW w:type="dxa" w:w="1600"/>
          </w:tcPr>
          <w:p>
            <w:pPr>
              <w:spacing w:after="40"/>
            </w:pPr>
            <w:r/>
            <w:r>
              <w:rPr>
                <w:rFonts w:ascii="Calibri" w:hAnsi="Calibri" w:cs="Calibri"/>
                <w:b w:val="0"/>
                <w:i w:val="0"/>
                <w:color w:val="24372D"/>
                <w:sz w:val="19"/>
              </w:rPr>
              <w:t>9 Hizb</w:t>
            </w:r>
          </w:p>
          <w:p>
            <w:pPr>
              <w:spacing w:after="0"/>
              <w:jc w:val="right"/>
            </w:pPr>
            <w:r>
              <w:rPr>
                <w:rFonts w:ascii="Arial" w:hAnsi="Arial" w:cs="Arial"/>
                <w:b w:val="0"/>
                <w:i w:val="0"/>
                <w:color w:val="5A6B60"/>
                <w:sz w:val="20"/>
              </w:rPr>
              <w:t>٩ أحزاب</w:t>
            </w:r>
          </w:p>
        </w:tc>
        <w:tc>
          <w:tcPr>
            <w:tcW w:type="dxa" w:w="2150"/>
          </w:tcPr>
          <w:p>
            <w:pPr>
              <w:spacing w:after="40"/>
            </w:pPr>
            <w:r/>
            <w:r>
              <w:rPr>
                <w:rFonts w:ascii="Calibri" w:hAnsi="Calibri" w:cs="Calibri"/>
                <w:b w:val="0"/>
                <w:i w:val="0"/>
                <w:color w:val="24372D"/>
                <w:sz w:val="19"/>
              </w:rPr>
              <w:t>Continues from Al-Baqarah</w:t>
            </w:r>
          </w:p>
          <w:p>
            <w:pPr>
              <w:spacing w:after="0"/>
              <w:jc w:val="right"/>
            </w:pPr>
            <w:r>
              <w:rPr>
                <w:rFonts w:ascii="Arial" w:hAnsi="Arial" w:cs="Arial"/>
                <w:b w:val="0"/>
                <w:i w:val="0"/>
                <w:color w:val="5A6B60"/>
                <w:sz w:val="20"/>
              </w:rPr>
              <w:t>استمراراً من البقرة</w:t>
            </w:r>
          </w:p>
        </w:tc>
        <w:tc>
          <w:tcPr>
            <w:tcW w:type="dxa" w:w="2160"/>
          </w:tcPr>
          <w:p>
            <w:pPr>
              <w:spacing w:after="40"/>
            </w:pPr>
            <w:r/>
            <w:r>
              <w:rPr>
                <w:rFonts w:ascii="Calibri" w:hAnsi="Calibri" w:cs="Calibri"/>
                <w:b w:val="0"/>
                <w:i w:val="0"/>
                <w:color w:val="24372D"/>
                <w:sz w:val="19"/>
              </w:rPr>
              <w:t>Steady memorisation and Kitāb al-Tajwīd</w:t>
            </w:r>
          </w:p>
          <w:p>
            <w:pPr>
              <w:spacing w:after="0"/>
              <w:jc w:val="right"/>
            </w:pPr>
            <w:r>
              <w:rPr>
                <w:rFonts w:ascii="Arial" w:hAnsi="Arial" w:cs="Arial"/>
                <w:b w:val="0"/>
                <w:i w:val="0"/>
                <w:color w:val="5A6B60"/>
                <w:sz w:val="20"/>
              </w:rPr>
              <w:t>الحفظ المنتظم وكتاب التجويد</w:t>
            </w:r>
          </w:p>
        </w:tc>
      </w:tr>
      <w:tr>
        <w:tc>
          <w:tcPr>
            <w:tcW w:type="dxa" w:w="1850"/>
          </w:tcPr>
          <w:p>
            <w:pPr>
              <w:spacing w:after="40"/>
            </w:pPr>
            <w:r/>
            <w:r>
              <w:rPr>
                <w:rFonts w:ascii="Calibri" w:hAnsi="Calibri" w:cs="Calibri"/>
                <w:b w:val="0"/>
                <w:i w:val="0"/>
                <w:color w:val="24372D"/>
                <w:sz w:val="19"/>
              </w:rPr>
              <w:t>Ibtidā’iyyah / Primary</w:t>
            </w:r>
          </w:p>
          <w:p>
            <w:pPr>
              <w:spacing w:after="0"/>
              <w:jc w:val="right"/>
            </w:pPr>
            <w:r>
              <w:rPr>
                <w:rFonts w:ascii="Arial" w:hAnsi="Arial" w:cs="Arial"/>
                <w:b w:val="0"/>
                <w:i w:val="0"/>
                <w:color w:val="5A6B60"/>
                <w:sz w:val="20"/>
              </w:rPr>
              <w:t>الابتدائية</w:t>
            </w:r>
          </w:p>
        </w:tc>
        <w:tc>
          <w:tcPr>
            <w:tcW w:type="dxa" w:w="1600"/>
          </w:tcPr>
          <w:p>
            <w:pPr>
              <w:spacing w:after="40"/>
            </w:pPr>
            <w:r/>
            <w:r>
              <w:rPr>
                <w:rFonts w:ascii="Calibri" w:hAnsi="Calibri" w:cs="Calibri"/>
                <w:b w:val="0"/>
                <w:i w:val="0"/>
                <w:color w:val="24372D"/>
                <w:sz w:val="19"/>
              </w:rPr>
              <w:t>Year 3</w:t>
            </w:r>
          </w:p>
          <w:p>
            <w:pPr>
              <w:spacing w:after="0"/>
              <w:jc w:val="right"/>
            </w:pPr>
            <w:r>
              <w:rPr>
                <w:rFonts w:ascii="Arial" w:hAnsi="Arial" w:cs="Arial"/>
                <w:b w:val="0"/>
                <w:i w:val="0"/>
                <w:color w:val="5A6B60"/>
                <w:sz w:val="20"/>
              </w:rPr>
              <w:t>السنة الثالثة</w:t>
            </w:r>
          </w:p>
        </w:tc>
        <w:tc>
          <w:tcPr>
            <w:tcW w:type="dxa" w:w="1600"/>
          </w:tcPr>
          <w:p>
            <w:pPr>
              <w:spacing w:after="40"/>
            </w:pPr>
            <w:r/>
            <w:r>
              <w:rPr>
                <w:rFonts w:ascii="Calibri" w:hAnsi="Calibri" w:cs="Calibri"/>
                <w:b w:val="0"/>
                <w:i w:val="0"/>
                <w:color w:val="24372D"/>
                <w:sz w:val="19"/>
              </w:rPr>
              <w:t>13 Hizb</w:t>
            </w:r>
          </w:p>
          <w:p>
            <w:pPr>
              <w:spacing w:after="0"/>
              <w:jc w:val="right"/>
            </w:pPr>
            <w:r>
              <w:rPr>
                <w:rFonts w:ascii="Arial" w:hAnsi="Arial" w:cs="Arial"/>
                <w:b w:val="0"/>
                <w:i w:val="0"/>
                <w:color w:val="5A6B60"/>
                <w:sz w:val="20"/>
              </w:rPr>
              <w:t>١٣ حزباً</w:t>
            </w:r>
          </w:p>
        </w:tc>
        <w:tc>
          <w:tcPr>
            <w:tcW w:type="dxa" w:w="2150"/>
          </w:tcPr>
          <w:p>
            <w:pPr>
              <w:spacing w:after="40"/>
            </w:pPr>
            <w:r/>
            <w:r>
              <w:rPr>
                <w:rFonts w:ascii="Calibri" w:hAnsi="Calibri" w:cs="Calibri"/>
                <w:b w:val="0"/>
                <w:i w:val="0"/>
                <w:color w:val="24372D"/>
                <w:sz w:val="19"/>
              </w:rPr>
              <w:t>Continues sequentially</w:t>
            </w:r>
          </w:p>
          <w:p>
            <w:pPr>
              <w:spacing w:after="0"/>
              <w:jc w:val="right"/>
            </w:pPr>
            <w:r>
              <w:rPr>
                <w:rFonts w:ascii="Arial" w:hAnsi="Arial" w:cs="Arial"/>
                <w:b w:val="0"/>
                <w:i w:val="0"/>
                <w:color w:val="5A6B60"/>
                <w:sz w:val="20"/>
              </w:rPr>
              <w:t>استمراراً بالترتيب</w:t>
            </w:r>
          </w:p>
        </w:tc>
        <w:tc>
          <w:tcPr>
            <w:tcW w:type="dxa" w:w="2160"/>
          </w:tcPr>
          <w:p>
            <w:pPr>
              <w:spacing w:after="40"/>
            </w:pPr>
            <w:r/>
            <w:r>
              <w:rPr>
                <w:rFonts w:ascii="Calibri" w:hAnsi="Calibri" w:cs="Calibri"/>
                <w:b w:val="0"/>
                <w:i w:val="0"/>
                <w:color w:val="24372D"/>
                <w:sz w:val="19"/>
              </w:rPr>
              <w:t>Supervised independent progress</w:t>
            </w:r>
          </w:p>
          <w:p>
            <w:pPr>
              <w:spacing w:after="0"/>
              <w:jc w:val="right"/>
            </w:pPr>
            <w:r>
              <w:rPr>
                <w:rFonts w:ascii="Arial" w:hAnsi="Arial" w:cs="Arial"/>
                <w:b w:val="0"/>
                <w:i w:val="0"/>
                <w:color w:val="5A6B60"/>
                <w:sz w:val="20"/>
              </w:rPr>
              <w:t>التقدم المستقل تحت الإشراف</w:t>
            </w:r>
          </w:p>
        </w:tc>
      </w:tr>
      <w:tr>
        <w:tc>
          <w:tcPr>
            <w:tcW w:type="dxa" w:w="1850"/>
          </w:tcPr>
          <w:p>
            <w:pPr>
              <w:spacing w:after="40"/>
            </w:pPr>
            <w:r/>
            <w:r>
              <w:rPr>
                <w:rFonts w:ascii="Calibri" w:hAnsi="Calibri" w:cs="Calibri"/>
                <w:b w:val="0"/>
                <w:i w:val="0"/>
                <w:color w:val="24372D"/>
                <w:sz w:val="19"/>
              </w:rPr>
              <w:t>Ibtidā’iyyah / Primary</w:t>
            </w:r>
          </w:p>
          <w:p>
            <w:pPr>
              <w:spacing w:after="0"/>
              <w:jc w:val="right"/>
            </w:pPr>
            <w:r>
              <w:rPr>
                <w:rFonts w:ascii="Arial" w:hAnsi="Arial" w:cs="Arial"/>
                <w:b w:val="0"/>
                <w:i w:val="0"/>
                <w:color w:val="5A6B60"/>
                <w:sz w:val="20"/>
              </w:rPr>
              <w:t>الابتدائية</w:t>
            </w:r>
          </w:p>
        </w:tc>
        <w:tc>
          <w:tcPr>
            <w:tcW w:type="dxa" w:w="1600"/>
          </w:tcPr>
          <w:p>
            <w:pPr>
              <w:spacing w:after="40"/>
            </w:pPr>
            <w:r/>
            <w:r>
              <w:rPr>
                <w:rFonts w:ascii="Calibri" w:hAnsi="Calibri" w:cs="Calibri"/>
                <w:b w:val="0"/>
                <w:i w:val="0"/>
                <w:color w:val="24372D"/>
                <w:sz w:val="19"/>
              </w:rPr>
              <w:t>Year 4</w:t>
            </w:r>
          </w:p>
          <w:p>
            <w:pPr>
              <w:spacing w:after="0"/>
              <w:jc w:val="right"/>
            </w:pPr>
            <w:r>
              <w:rPr>
                <w:rFonts w:ascii="Arial" w:hAnsi="Arial" w:cs="Arial"/>
                <w:b w:val="0"/>
                <w:i w:val="0"/>
                <w:color w:val="5A6B60"/>
                <w:sz w:val="20"/>
              </w:rPr>
              <w:t>السنة الرابعة</w:t>
            </w:r>
          </w:p>
        </w:tc>
        <w:tc>
          <w:tcPr>
            <w:tcW w:type="dxa" w:w="1600"/>
          </w:tcPr>
          <w:p>
            <w:pPr>
              <w:spacing w:after="40"/>
            </w:pPr>
            <w:r/>
            <w:r>
              <w:rPr>
                <w:rFonts w:ascii="Calibri" w:hAnsi="Calibri" w:cs="Calibri"/>
                <w:b w:val="0"/>
                <w:i w:val="0"/>
                <w:color w:val="24372D"/>
                <w:sz w:val="19"/>
              </w:rPr>
              <w:t>13 Hizb</w:t>
            </w:r>
          </w:p>
          <w:p>
            <w:pPr>
              <w:spacing w:after="0"/>
              <w:jc w:val="right"/>
            </w:pPr>
            <w:r>
              <w:rPr>
                <w:rFonts w:ascii="Arial" w:hAnsi="Arial" w:cs="Arial"/>
                <w:b w:val="0"/>
                <w:i w:val="0"/>
                <w:color w:val="5A6B60"/>
                <w:sz w:val="20"/>
              </w:rPr>
              <w:t>١٣ حزباً</w:t>
            </w:r>
          </w:p>
        </w:tc>
        <w:tc>
          <w:tcPr>
            <w:tcW w:type="dxa" w:w="2150"/>
          </w:tcPr>
          <w:p>
            <w:pPr>
              <w:spacing w:after="40"/>
            </w:pPr>
            <w:r/>
            <w:r>
              <w:rPr>
                <w:rFonts w:ascii="Calibri" w:hAnsi="Calibri" w:cs="Calibri"/>
                <w:b w:val="0"/>
                <w:i w:val="0"/>
                <w:color w:val="24372D"/>
                <w:sz w:val="19"/>
              </w:rPr>
              <w:t>Continues sequentially</w:t>
            </w:r>
          </w:p>
          <w:p>
            <w:pPr>
              <w:spacing w:after="0"/>
              <w:jc w:val="right"/>
            </w:pPr>
            <w:r>
              <w:rPr>
                <w:rFonts w:ascii="Arial" w:hAnsi="Arial" w:cs="Arial"/>
                <w:b w:val="0"/>
                <w:i w:val="0"/>
                <w:color w:val="5A6B60"/>
                <w:sz w:val="20"/>
              </w:rPr>
              <w:t>استمراراً بالترتيب</w:t>
            </w:r>
          </w:p>
        </w:tc>
        <w:tc>
          <w:tcPr>
            <w:tcW w:type="dxa" w:w="2160"/>
          </w:tcPr>
          <w:p>
            <w:pPr>
              <w:spacing w:after="40"/>
            </w:pPr>
            <w:r/>
            <w:r>
              <w:rPr>
                <w:rFonts w:ascii="Calibri" w:hAnsi="Calibri" w:cs="Calibri"/>
                <w:b w:val="0"/>
                <w:i w:val="0"/>
                <w:color w:val="24372D"/>
                <w:sz w:val="19"/>
              </w:rPr>
              <w:t>Fluency, retention and revision</w:t>
            </w:r>
          </w:p>
          <w:p>
            <w:pPr>
              <w:spacing w:after="0"/>
              <w:jc w:val="right"/>
            </w:pPr>
            <w:r>
              <w:rPr>
                <w:rFonts w:ascii="Arial" w:hAnsi="Arial" w:cs="Arial"/>
                <w:b w:val="0"/>
                <w:i w:val="0"/>
                <w:color w:val="5A6B60"/>
                <w:sz w:val="20"/>
              </w:rPr>
              <w:t>الطلاقة والثبات والمراجعة</w:t>
            </w:r>
          </w:p>
        </w:tc>
      </w:tr>
      <w:tr>
        <w:tc>
          <w:tcPr>
            <w:tcW w:type="dxa" w:w="1850"/>
          </w:tcPr>
          <w:p>
            <w:pPr>
              <w:spacing w:after="40"/>
            </w:pPr>
            <w:r/>
            <w:r>
              <w:rPr>
                <w:rFonts w:ascii="Calibri" w:hAnsi="Calibri" w:cs="Calibri"/>
                <w:b w:val="0"/>
                <w:i w:val="0"/>
                <w:color w:val="24372D"/>
                <w:sz w:val="19"/>
              </w:rPr>
              <w:t>Ibtidā’iyyah / Primary</w:t>
            </w:r>
          </w:p>
          <w:p>
            <w:pPr>
              <w:spacing w:after="0"/>
              <w:jc w:val="right"/>
            </w:pPr>
            <w:r>
              <w:rPr>
                <w:rFonts w:ascii="Arial" w:hAnsi="Arial" w:cs="Arial"/>
                <w:b w:val="0"/>
                <w:i w:val="0"/>
                <w:color w:val="5A6B60"/>
                <w:sz w:val="20"/>
              </w:rPr>
              <w:t>الابتدائية</w:t>
            </w:r>
          </w:p>
        </w:tc>
        <w:tc>
          <w:tcPr>
            <w:tcW w:type="dxa" w:w="1600"/>
          </w:tcPr>
          <w:p>
            <w:pPr>
              <w:spacing w:after="40"/>
            </w:pPr>
            <w:r/>
            <w:r>
              <w:rPr>
                <w:rFonts w:ascii="Calibri" w:hAnsi="Calibri" w:cs="Calibri"/>
                <w:b w:val="0"/>
                <w:i w:val="0"/>
                <w:color w:val="24372D"/>
                <w:sz w:val="19"/>
              </w:rPr>
              <w:t>Year 5</w:t>
            </w:r>
          </w:p>
          <w:p>
            <w:pPr>
              <w:spacing w:after="0"/>
              <w:jc w:val="right"/>
            </w:pPr>
            <w:r>
              <w:rPr>
                <w:rFonts w:ascii="Arial" w:hAnsi="Arial" w:cs="Arial"/>
                <w:b w:val="0"/>
                <w:i w:val="0"/>
                <w:color w:val="5A6B60"/>
                <w:sz w:val="20"/>
              </w:rPr>
              <w:t>السنة الخامسة</w:t>
            </w:r>
          </w:p>
        </w:tc>
        <w:tc>
          <w:tcPr>
            <w:tcW w:type="dxa" w:w="1600"/>
          </w:tcPr>
          <w:p>
            <w:pPr>
              <w:spacing w:after="40"/>
            </w:pPr>
            <w:r/>
            <w:r>
              <w:rPr>
                <w:rFonts w:ascii="Calibri" w:hAnsi="Calibri" w:cs="Calibri"/>
                <w:b w:val="0"/>
                <w:i w:val="0"/>
                <w:color w:val="24372D"/>
                <w:sz w:val="19"/>
              </w:rPr>
              <w:t>14 Hizb</w:t>
            </w:r>
          </w:p>
          <w:p>
            <w:pPr>
              <w:spacing w:after="0"/>
              <w:jc w:val="right"/>
            </w:pPr>
            <w:r>
              <w:rPr>
                <w:rFonts w:ascii="Arial" w:hAnsi="Arial" w:cs="Arial"/>
                <w:b w:val="0"/>
                <w:i w:val="0"/>
                <w:color w:val="5A6B60"/>
                <w:sz w:val="20"/>
              </w:rPr>
              <w:t>١٤ حزباً</w:t>
            </w:r>
          </w:p>
        </w:tc>
        <w:tc>
          <w:tcPr>
            <w:tcW w:type="dxa" w:w="2150"/>
          </w:tcPr>
          <w:p>
            <w:pPr>
              <w:spacing w:after="40"/>
            </w:pPr>
            <w:r/>
            <w:r>
              <w:rPr>
                <w:rFonts w:ascii="Calibri" w:hAnsi="Calibri" w:cs="Calibri"/>
                <w:b w:val="0"/>
                <w:i w:val="0"/>
                <w:color w:val="24372D"/>
                <w:sz w:val="19"/>
              </w:rPr>
              <w:t>Ends at Al-Aḥqāf</w:t>
            </w:r>
          </w:p>
          <w:p>
            <w:pPr>
              <w:spacing w:after="0"/>
              <w:jc w:val="right"/>
            </w:pPr>
            <w:r>
              <w:rPr>
                <w:rFonts w:ascii="Arial" w:hAnsi="Arial" w:cs="Arial"/>
                <w:b w:val="0"/>
                <w:i w:val="0"/>
                <w:color w:val="5A6B60"/>
                <w:sz w:val="20"/>
              </w:rPr>
              <w:t>ينتهي عند الأحقاف</w:t>
            </w:r>
          </w:p>
        </w:tc>
        <w:tc>
          <w:tcPr>
            <w:tcW w:type="dxa" w:w="2160"/>
          </w:tcPr>
          <w:p>
            <w:pPr>
              <w:spacing w:after="40"/>
            </w:pPr>
            <w:r/>
            <w:r>
              <w:rPr>
                <w:rFonts w:ascii="Calibri" w:hAnsi="Calibri" w:cs="Calibri"/>
                <w:b w:val="0"/>
                <w:i w:val="0"/>
                <w:color w:val="24372D"/>
                <w:sz w:val="19"/>
              </w:rPr>
              <w:t>Completion route and consolidation</w:t>
            </w:r>
          </w:p>
          <w:p>
            <w:pPr>
              <w:spacing w:after="0"/>
              <w:jc w:val="right"/>
            </w:pPr>
            <w:r>
              <w:rPr>
                <w:rFonts w:ascii="Arial" w:hAnsi="Arial" w:cs="Arial"/>
                <w:b w:val="0"/>
                <w:i w:val="0"/>
                <w:color w:val="5A6B60"/>
                <w:sz w:val="20"/>
              </w:rPr>
              <w:t>إتمام المسار والتثبيت</w:t>
            </w:r>
          </w:p>
        </w:tc>
      </w:tr>
    </w:tbl>
    <w:p>
      <w:pPr>
        <w:spacing w:before="140" w:after="60" w:line="264" w:lineRule="auto"/>
      </w:pPr>
      <w:r>
        <w:rPr>
          <w:rFonts w:ascii="Calibri" w:hAnsi="Calibri" w:cs="Calibri"/>
          <w:b w:val="0"/>
          <w:i/>
          <w:color w:val="5A6B60"/>
          <w:sz w:val="19"/>
        </w:rPr>
        <w:t>Sequence note: Nursery memorisation begins from Sūrat an-Nās and progresses upward until Sūrat al-Jumuʿah. Primary memorisation begins from Sūrat al-Baqarah and progresses forward until Sūrat al-Aḥqāf.</w:t>
      </w:r>
    </w:p>
    <w:p>
      <w:pPr>
        <w:spacing w:before="0" w:after="200" w:line="264" w:lineRule="auto"/>
        <w:jc w:val="right"/>
      </w:pPr>
      <w:r>
        <w:rPr>
          <w:rFonts w:ascii="Arial" w:hAnsi="Arial" w:cs="Arial"/>
          <w:b w:val="0"/>
          <w:i/>
          <w:color w:val="5A6B60"/>
          <w:sz w:val="21"/>
        </w:rPr>
        <w:t>ملاحظة التسلسل: يبدأ حفظ الروضة من سورة الناس صعوداً حتى سورة الجمعة، ويبدأ حفظ المرحلة الابتدائية من سورة البقرة إلى سورة الأحقاف.</w:t>
      </w:r>
    </w:p>
    <w:p>
      <w:pPr>
        <w:spacing w:before="320" w:after="140"/>
      </w:pPr>
      <w:r>
        <w:rPr>
          <w:rFonts w:ascii="Calibri" w:hAnsi="Calibri" w:cs="Calibri"/>
          <w:b/>
          <w:i w:val="0"/>
          <w:color w:val="07513B"/>
          <w:sz w:val="32"/>
        </w:rPr>
        <w:t>5. Teaching Organisation</w:t>
      </w:r>
      <w:r>
        <w:t xml:space="preserve">   |   </w:t>
      </w:r>
      <w:r>
        <w:rPr>
          <w:rFonts w:ascii="Arial" w:hAnsi="Arial" w:cs="Arial"/>
          <w:b/>
          <w:i w:val="0"/>
          <w:color w:val="07513B"/>
          <w:sz w:val="32"/>
        </w:rPr>
        <w:t>٥. تنظيم التعليم</w:t>
      </w:r>
    </w:p>
    <w:p>
      <w:pPr>
        <w:spacing w:before="0" w:after="60" w:line="276" w:lineRule="auto"/>
      </w:pPr>
      <w:r>
        <w:rPr>
          <w:rFonts w:ascii="Calibri" w:hAnsi="Calibri" w:cs="Calibri"/>
          <w:b w:val="0"/>
          <w:i w:val="0"/>
          <w:color w:val="24372D"/>
          <w:sz w:val="22"/>
        </w:rPr>
        <w:t>From Nursery through Primary 2, learners work together with their Mallam in class through collective talqīn, supervised repetition and individual correction. From Primary 3, learners who demonstrate readiness may proceed more independently while remaining under close teacher supervision.</w:t>
      </w:r>
    </w:p>
    <w:p>
      <w:pPr>
        <w:spacing w:before="0" w:after="160" w:line="276" w:lineRule="auto"/>
        <w:jc w:val="right"/>
      </w:pPr>
      <w:r>
        <w:rPr>
          <w:rFonts w:ascii="Arial" w:hAnsi="Arial" w:cs="Arial"/>
          <w:b w:val="0"/>
          <w:i w:val="0"/>
          <w:color w:val="5A6B60"/>
          <w:sz w:val="24"/>
        </w:rPr>
        <w:t>من الروضة إلى الصف الثاني الابتدائي، يتعلم الطلاب مع معلّمهم في الصف بالتلقين الجماعي والتكرار تحت الإشراف والتصحيح الفردي. ومن الصف الثالث الابتدائي، يُسمح للطلاب المستعدين بالتقدم بصورة أكثر استقلالاً مع بقائهم تحت متابعة دقيقة من المعلّم.</w:t>
      </w:r>
    </w:p>
    <w:p>
      <w:r>
        <w:br w:type="page"/>
      </w:r>
    </w:p>
    <w:p>
      <w:pPr>
        <w:spacing w:before="320" w:after="140"/>
      </w:pPr>
      <w:r>
        <w:rPr>
          <w:rFonts w:ascii="Calibri" w:hAnsi="Calibri" w:cs="Calibri"/>
          <w:b/>
          <w:i w:val="0"/>
          <w:color w:val="07513B"/>
          <w:sz w:val="32"/>
        </w:rPr>
        <w:t>6. Murājaʿah, Daura and Progression</w:t>
      </w:r>
      <w:r>
        <w:t xml:space="preserve">   |   </w:t>
      </w:r>
      <w:r>
        <w:rPr>
          <w:rFonts w:ascii="Arial" w:hAnsi="Arial" w:cs="Arial"/>
          <w:b/>
          <w:i w:val="0"/>
          <w:color w:val="07513B"/>
          <w:sz w:val="32"/>
        </w:rPr>
        <w:t>٦. المراجعة والدورة والانتقال</w:t>
      </w:r>
    </w:p>
    <w:p>
      <w:pPr>
        <w:spacing w:before="0" w:after="60" w:line="276" w:lineRule="auto"/>
      </w:pPr>
      <w:r>
        <w:rPr>
          <w:rFonts w:ascii="Calibri" w:hAnsi="Calibri" w:cs="Calibri"/>
          <w:b w:val="0"/>
          <w:i w:val="0"/>
          <w:color w:val="24372D"/>
          <w:sz w:val="22"/>
        </w:rPr>
        <w:t>At the end of every Hizb, the learner pauses new memorisation for focused revision before moving to the next Hizb. This protects retention and prevents weak memorisation from accumulating.</w:t>
      </w:r>
    </w:p>
    <w:p>
      <w:pPr>
        <w:spacing w:before="0" w:after="160" w:line="276" w:lineRule="auto"/>
        <w:jc w:val="right"/>
      </w:pPr>
      <w:r>
        <w:rPr>
          <w:rFonts w:ascii="Arial" w:hAnsi="Arial" w:cs="Arial"/>
          <w:b w:val="0"/>
          <w:i w:val="0"/>
          <w:color w:val="5A6B60"/>
          <w:sz w:val="24"/>
        </w:rPr>
        <w:t>عند نهاية كل حزب، يوقف المتعلم الحفظ الجديد للتفرغ لمراجعة مركزة قبل الانتقال إلى الحزب التالي. وهذا يحافظ على ثبات الحفظ ويمنع تراكم الحفظ الضعيف.</w:t>
      </w:r>
    </w:p>
    <w:p>
      <w:pPr>
        <w:spacing w:before="0" w:after="60" w:line="276" w:lineRule="auto"/>
      </w:pPr>
      <w:r>
        <w:rPr>
          <w:rFonts w:ascii="Calibri" w:hAnsi="Calibri" w:cs="Calibri"/>
          <w:b w:val="0"/>
          <w:i w:val="0"/>
          <w:color w:val="24372D"/>
          <w:sz w:val="22"/>
        </w:rPr>
        <w:t>Daura / holiday programmes should include daily protected time for Murājaʿah. Learners are encouraged to use the holiday period to strengthen previously memorised portions, not only to add new portions.</w:t>
      </w:r>
    </w:p>
    <w:p>
      <w:pPr>
        <w:spacing w:before="0" w:after="160" w:line="276" w:lineRule="auto"/>
        <w:jc w:val="right"/>
      </w:pPr>
      <w:r>
        <w:rPr>
          <w:rFonts w:ascii="Arial" w:hAnsi="Arial" w:cs="Arial"/>
          <w:b w:val="0"/>
          <w:i w:val="0"/>
          <w:color w:val="5A6B60"/>
          <w:sz w:val="24"/>
        </w:rPr>
        <w:t>تتضمن الدورات والبرامج في الإجازات وقتاً يومياً ثابتاً للمراجعة. ويُشجّع المتعلمون على استغلال الإجازة لتثبيت المحفوظ السابق، لا للحفظ الجديد فقط.</w:t>
      </w:r>
    </w:p>
    <w:p>
      <w:pPr>
        <w:spacing w:before="0" w:after="60" w:line="276" w:lineRule="auto"/>
      </w:pPr>
      <w:r>
        <w:rPr>
          <w:rFonts w:ascii="Calibri" w:hAnsi="Calibri" w:cs="Calibri"/>
          <w:b w:val="0"/>
          <w:i w:val="0"/>
          <w:color w:val="24372D"/>
          <w:sz w:val="22"/>
        </w:rPr>
        <w:t>For promotion to the next stage, a learner must have achieved at least 70% of the session’s memorisation target, together with acceptable recitation quality and revision strength. Learners below this standard receive a structured support and recovery plan.</w:t>
      </w:r>
    </w:p>
    <w:p>
      <w:pPr>
        <w:spacing w:before="0" w:after="160" w:line="276" w:lineRule="auto"/>
        <w:jc w:val="right"/>
      </w:pPr>
      <w:r>
        <w:rPr>
          <w:rFonts w:ascii="Arial" w:hAnsi="Arial" w:cs="Arial"/>
          <w:b w:val="0"/>
          <w:i w:val="0"/>
          <w:color w:val="5A6B60"/>
          <w:sz w:val="24"/>
        </w:rPr>
        <w:t>للانتقال إلى المرحلة التالية، يجب أن يحقق المتعلم ما لا يقل عن ٧٠٪ من هدف الحفظ في العام الدراسي، مع جودة مقبولة في التلاوة وقوة في المراجعة. ويُقدّم للمتعلمين دون هذا المستوى برنامج دعم وخطة استدراك منظمة.</w:t>
      </w:r>
    </w:p>
    <w:p>
      <w:pPr>
        <w:spacing w:before="320" w:after="140"/>
      </w:pPr>
      <w:r>
        <w:rPr>
          <w:rFonts w:ascii="Calibri" w:hAnsi="Calibri" w:cs="Calibri"/>
          <w:b/>
          <w:i w:val="0"/>
          <w:color w:val="07513B"/>
          <w:sz w:val="32"/>
        </w:rPr>
        <w:t>7. Whole-Programme Learning Outcomes</w:t>
      </w:r>
      <w:r>
        <w:t xml:space="preserve">   |   </w:t>
      </w:r>
      <w:r>
        <w:rPr>
          <w:rFonts w:ascii="Arial" w:hAnsi="Arial" w:cs="Arial"/>
          <w:b/>
          <w:i w:val="0"/>
          <w:color w:val="07513B"/>
          <w:sz w:val="32"/>
        </w:rPr>
        <w:t>٧. مخرجات التعلم العامة</w:t>
      </w:r>
    </w:p>
    <w:p>
      <w:pPr>
        <w:spacing w:before="0" w:after="60" w:line="276" w:lineRule="auto"/>
      </w:pPr>
      <w:r>
        <w:rPr>
          <w:rFonts w:ascii="Calibri" w:hAnsi="Calibri" w:cs="Calibri"/>
          <w:b w:val="0"/>
          <w:i w:val="0"/>
          <w:color w:val="24372D"/>
          <w:sz w:val="22"/>
        </w:rPr>
        <w:t>Read the Qur’an independently with accuracy appropriate to the learner’s level.</w:t>
      </w:r>
    </w:p>
    <w:p>
      <w:pPr>
        <w:spacing w:before="0" w:after="160" w:line="276" w:lineRule="auto"/>
        <w:jc w:val="right"/>
      </w:pPr>
      <w:r>
        <w:rPr>
          <w:rFonts w:ascii="Arial" w:hAnsi="Arial" w:cs="Arial"/>
          <w:b w:val="0"/>
          <w:i w:val="0"/>
          <w:color w:val="5A6B60"/>
          <w:sz w:val="24"/>
        </w:rPr>
        <w:t>أن يقرأ المتعلم القرآن بصورة مستقلة وبصحة تناسب مستواه.</w:t>
      </w:r>
    </w:p>
    <w:p>
      <w:pPr>
        <w:spacing w:before="0" w:after="60" w:line="276" w:lineRule="auto"/>
      </w:pPr>
      <w:r>
        <w:rPr>
          <w:rFonts w:ascii="Calibri" w:hAnsi="Calibri" w:cs="Calibri"/>
          <w:b w:val="0"/>
          <w:i w:val="0"/>
          <w:color w:val="24372D"/>
          <w:sz w:val="22"/>
        </w:rPr>
        <w:t>Memorise the assigned portions with sound Talqīn and correct Tajweed application.</w:t>
      </w:r>
    </w:p>
    <w:p>
      <w:pPr>
        <w:spacing w:before="0" w:after="160" w:line="276" w:lineRule="auto"/>
        <w:jc w:val="right"/>
      </w:pPr>
      <w:r>
        <w:rPr>
          <w:rFonts w:ascii="Arial" w:hAnsi="Arial" w:cs="Arial"/>
          <w:b w:val="0"/>
          <w:i w:val="0"/>
          <w:color w:val="5A6B60"/>
          <w:sz w:val="24"/>
        </w:rPr>
        <w:t>أن يحفظ المقرر بالتلقين الصحيح وتطبيق أحكام التجويد.</w:t>
      </w:r>
    </w:p>
    <w:p>
      <w:pPr>
        <w:spacing w:before="0" w:after="60" w:line="276" w:lineRule="auto"/>
      </w:pPr>
      <w:r>
        <w:rPr>
          <w:rFonts w:ascii="Calibri" w:hAnsi="Calibri" w:cs="Calibri"/>
          <w:b w:val="0"/>
          <w:i w:val="0"/>
          <w:color w:val="24372D"/>
          <w:sz w:val="22"/>
        </w:rPr>
        <w:t>Maintain regular Sabqi and Murājaʿah so that memorisation remains firm.</w:t>
      </w:r>
    </w:p>
    <w:p>
      <w:pPr>
        <w:spacing w:before="0" w:after="160" w:line="276" w:lineRule="auto"/>
        <w:jc w:val="right"/>
      </w:pPr>
      <w:r>
        <w:rPr>
          <w:rFonts w:ascii="Arial" w:hAnsi="Arial" w:cs="Arial"/>
          <w:b w:val="0"/>
          <w:i w:val="0"/>
          <w:color w:val="5A6B60"/>
          <w:sz w:val="24"/>
        </w:rPr>
        <w:t>أن يحافظ على السبقي والمراجعة بانتظام حتى يثبت الحفظ.</w:t>
      </w:r>
    </w:p>
    <w:p>
      <w:pPr>
        <w:spacing w:before="0" w:after="60" w:line="276" w:lineRule="auto"/>
      </w:pPr>
      <w:r>
        <w:rPr>
          <w:rFonts w:ascii="Calibri" w:hAnsi="Calibri" w:cs="Calibri"/>
          <w:b w:val="0"/>
          <w:i w:val="0"/>
          <w:color w:val="24372D"/>
          <w:sz w:val="22"/>
        </w:rPr>
        <w:t>Demonstrate Qur’anic adab: respect for the Muṣḥaf, good listening, patience, discipline and respect for the teacher and classmates.</w:t>
      </w:r>
    </w:p>
    <w:p>
      <w:pPr>
        <w:spacing w:before="0" w:after="160" w:line="276" w:lineRule="auto"/>
        <w:jc w:val="right"/>
      </w:pPr>
      <w:r>
        <w:rPr>
          <w:rFonts w:ascii="Arial" w:hAnsi="Arial" w:cs="Arial"/>
          <w:b w:val="0"/>
          <w:i w:val="0"/>
          <w:color w:val="5A6B60"/>
          <w:sz w:val="24"/>
        </w:rPr>
        <w:t>أن يلتزم بآداب القرآن: احترام المصحف، وحسن الاستماع، والصبر، والانضباط، واحترام المعلّم والزملاء.</w:t>
      </w:r>
    </w:p>
    <w:p>
      <w:pPr>
        <w:spacing w:before="0" w:after="60" w:line="276" w:lineRule="auto"/>
      </w:pPr>
      <w:r>
        <w:rPr>
          <w:rFonts w:ascii="Calibri" w:hAnsi="Calibri" w:cs="Calibri"/>
          <w:b w:val="0"/>
          <w:i w:val="0"/>
          <w:color w:val="24372D"/>
          <w:sz w:val="22"/>
        </w:rPr>
        <w:t>Understand and apply the character lessons of selected verses in daily conduct.</w:t>
      </w:r>
    </w:p>
    <w:p>
      <w:pPr>
        <w:spacing w:before="0" w:after="160" w:line="276" w:lineRule="auto"/>
        <w:jc w:val="right"/>
      </w:pPr>
      <w:r>
        <w:rPr>
          <w:rFonts w:ascii="Arial" w:hAnsi="Arial" w:cs="Arial"/>
          <w:b w:val="0"/>
          <w:i w:val="0"/>
          <w:color w:val="5A6B60"/>
          <w:sz w:val="24"/>
        </w:rPr>
        <w:t>أن يفهم ويطبق الدروس الأخلاقية في الآيات المختارة في سلوكه اليومي.</w:t>
      </w:r>
    </w:p>
    <w:p>
      <w:pPr>
        <w:spacing w:before="320" w:after="140"/>
      </w:pPr>
      <w:r>
        <w:rPr>
          <w:rFonts w:ascii="Calibri" w:hAnsi="Calibri" w:cs="Calibri"/>
          <w:b/>
          <w:i w:val="0"/>
          <w:color w:val="07513B"/>
          <w:sz w:val="32"/>
        </w:rPr>
        <w:t>8. Assessment Framework</w:t>
      </w:r>
      <w:r>
        <w:t xml:space="preserve">   |   </w:t>
      </w:r>
      <w:r>
        <w:rPr>
          <w:rFonts w:ascii="Arial" w:hAnsi="Arial" w:cs="Arial"/>
          <w:b/>
          <w:i w:val="0"/>
          <w:color w:val="07513B"/>
          <w:sz w:val="32"/>
        </w:rPr>
        <w:t>٨. إطار التقويم</w:t>
      </w:r>
    </w:p>
    <w:p>
      <w:pPr>
        <w:spacing w:before="0" w:after="60" w:line="276" w:lineRule="auto"/>
      </w:pPr>
      <w:r>
        <w:rPr>
          <w:rFonts w:ascii="Calibri" w:hAnsi="Calibri" w:cs="Calibri"/>
          <w:b w:val="0"/>
          <w:i w:val="0"/>
          <w:color w:val="24372D"/>
          <w:sz w:val="22"/>
        </w:rPr>
        <w:t>Assessment in this master syllabus is continuous and practical. It is based on recitation accuracy, memorisation completion, revision strength, Tajweed application, classroom conduct and the learner’s ability to apply character lessons from selected verses. Detailed weekly tests and marks belong to the scheme of work and assessment records.</w:t>
      </w:r>
    </w:p>
    <w:p>
      <w:pPr>
        <w:spacing w:before="0" w:after="160" w:line="276" w:lineRule="auto"/>
        <w:jc w:val="right"/>
      </w:pPr>
      <w:r>
        <w:rPr>
          <w:rFonts w:ascii="Arial" w:hAnsi="Arial" w:cs="Arial"/>
          <w:b w:val="0"/>
          <w:i w:val="0"/>
          <w:color w:val="5A6B60"/>
          <w:sz w:val="24"/>
        </w:rPr>
        <w:t>التقويم في هذا المنهج العام مستمر وعملي، ويعتمد على صحة التلاوة، وإنجاز الحفظ، وقوة المراجعة، وتطبيق التجويد، وسلوك المتعلم في الصف، وقدرته على تطبيق الدروس الأخلاقية من الآيات المختارة. أما الاختبارات الأسبوعية والدرجات التفصيلية فتكون في خطة العمل وسجلات التقويم.</w:t>
      </w:r>
    </w:p>
    <w:p>
      <w:pPr>
        <w:spacing w:before="320" w:after="140"/>
      </w:pPr>
      <w:r>
        <w:rPr>
          <w:rFonts w:ascii="Calibri" w:hAnsi="Calibri" w:cs="Calibri"/>
          <w:b/>
          <w:i w:val="0"/>
          <w:color w:val="07513B"/>
          <w:sz w:val="32"/>
        </w:rPr>
        <w:t>9. Scope of This Document</w:t>
      </w:r>
      <w:r>
        <w:t xml:space="preserve">   |   </w:t>
      </w:r>
      <w:r>
        <w:rPr>
          <w:rFonts w:ascii="Arial" w:hAnsi="Arial" w:cs="Arial"/>
          <w:b/>
          <w:i w:val="0"/>
          <w:color w:val="07513B"/>
          <w:sz w:val="32"/>
        </w:rPr>
        <w:t>٩. نطاق هذه الوثيقة</w:t>
      </w:r>
    </w:p>
    <w:p>
      <w:pPr>
        <w:spacing w:before="0" w:after="60" w:line="276" w:lineRule="auto"/>
      </w:pPr>
      <w:r>
        <w:rPr>
          <w:rFonts w:ascii="Calibri" w:hAnsi="Calibri" w:cs="Calibri"/>
          <w:b w:val="0"/>
          <w:i w:val="0"/>
          <w:color w:val="24372D"/>
          <w:sz w:val="22"/>
        </w:rPr>
        <w:t>This document is a master syllabus. It gives the destination, sequence and standards of the Qur’an programme. It does not replace the termly scheme of work, weekly teaching plan, daily lesson plan, individual Qur’an record or examination record.</w:t>
      </w:r>
    </w:p>
    <w:p>
      <w:pPr>
        <w:spacing w:before="0" w:after="160" w:line="276" w:lineRule="auto"/>
        <w:jc w:val="right"/>
      </w:pPr>
      <w:r>
        <w:rPr>
          <w:rFonts w:ascii="Arial" w:hAnsi="Arial" w:cs="Arial"/>
          <w:b w:val="0"/>
          <w:i w:val="0"/>
          <w:color w:val="5A6B60"/>
          <w:sz w:val="24"/>
        </w:rPr>
        <w:t>هذه الوثيقة منهج عام. فهي توضح الغاية والتسلسل والمعايير لبرنامج القرآن، ولا تحل محل خطة العمل الفصلية، أو الخطة الأسبوعية، أو خطة الدرس اليومية، أو سجل القرآن الفردي، أو سجل الاختبارات.</w:t>
      </w:r>
    </w:p>
    <w:p>
      <w:pPr>
        <w:spacing w:before="500" w:after="60" w:line="264" w:lineRule="auto"/>
        <w:jc w:val="center"/>
      </w:pPr>
      <w:r>
        <w:rPr>
          <w:rFonts w:ascii="Calibri" w:hAnsi="Calibri" w:cs="Calibri"/>
          <w:b w:val="0"/>
          <w:i/>
          <w:color w:val="5A6B60"/>
          <w:sz w:val="18"/>
        </w:rPr>
        <w:t>Prepared for Madarasatu Safiyyah Littahfizil Qur’an | Master reference document</w:t>
      </w:r>
    </w:p>
    <w:p>
      <w:pPr>
        <w:spacing w:before="0" w:after="0" w:line="264" w:lineRule="auto"/>
        <w:jc w:val="center"/>
      </w:pPr>
      <w:r>
        <w:rPr>
          <w:rFonts w:ascii="Arial" w:hAnsi="Arial" w:cs="Arial"/>
          <w:b w:val="0"/>
          <w:i/>
          <w:color w:val="5A6B60"/>
          <w:sz w:val="20"/>
        </w:rPr>
        <w:t>أُعدّ لمدرسة الصفية لتحفيظ القرآن | وثيقة مرجعية عامة</w:t>
      </w:r>
    </w:p>
    <w:sectPr w:rsidR="00FC693F" w:rsidRPr="0006063C" w:rsidSect="00034616">
      <w:headerReference w:type="default" r:id="rId9"/>
      <w:footerReference w:type="default" r:id="rId10"/>
      <w:pgSz w:w="12240" w:h="15840"/>
      <w:pgMar w:top="1224" w:right="1224" w:bottom="1152" w:left="1224"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s="Calibri"/>
        <w:b w:val="0"/>
        <w:i w:val="0"/>
        <w:color w:val="5A6B6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Calibri" w:hAnsi="Calibri" w:cs="Calibri"/>
        <w:b/>
        <w:i w:val="0"/>
        <w:color w:val="07513B"/>
        <w:sz w:val="17"/>
      </w:rPr>
      <w:t>MADARASATU SAFIYYAH LITTAHFIZIL QUR’AN  |  QUR’AN MASTER SYLLABUS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Madarasatu Safiyyah Qur’an Master Syllabus</dc:title>
  <dc:subject/>
  <dc:creator>Madarasatu Safiyyah Littahfizil Qur’an</dc:creator>
  <cp:keywords/>
  <dc:description>generated by python-docx</dc:description>
  <cp:lastModifiedBy/>
  <cp:revision>1</cp:revision>
  <dcterms:created xsi:type="dcterms:W3CDTF">2013-12-23T23:15:00Z</dcterms:created>
  <dcterms:modified xsi:type="dcterms:W3CDTF">2013-12-23T23:15:00Z</dcterms:modified>
  <cp:category/>
</cp:coreProperties>
</file>